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18482</w:t>
      </w:r>
      <w:bookmarkStart w:id="3" w:name="_GoBack"/>
      <w:bookmarkEnd w:id="3"/>
    </w:p>
    <w:p>
      <w:pPr>
        <w:pStyle w:val="2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less than 5MHz in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7.8.3.4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evolution [1] has been approved, and several objectives in the WID have RAN4 RRM involvement. In the last meeting we provided our initial views on potential impacts on RRM requirements and in this meeting we will continue to study the concrete RRM requirements.</w:t>
      </w:r>
    </w:p>
    <w:p>
      <w:pPr>
        <w:pStyle w:val="76"/>
        <w:rPr>
          <w:lang w:val="en-US"/>
        </w:rPr>
      </w:pPr>
      <w:r>
        <w:rPr>
          <w:lang w:val="en-US"/>
        </w:rPr>
        <w:t>Discussion</w:t>
      </w:r>
    </w:p>
    <w:p>
      <w:pPr>
        <w:rPr>
          <w:rFonts w:hint="default"/>
          <w:lang w:val="en-US" w:eastAsia="zh-CN"/>
        </w:rPr>
      </w:pPr>
      <w:r>
        <w:rPr>
          <w:rFonts w:hint="eastAsia"/>
          <w:lang w:val="en-US" w:eastAsia="zh-CN"/>
        </w:rPr>
        <w:t xml:space="preserve">The objectives of Rel-19 in NR NTN evolution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hint="default" w:ascii="Times New Roman" w:hAnsi="Times New Roman" w:eastAsia="宋体" w:cs="Times New Roman"/>
                <w:kern w:val="0"/>
                <w:sz w:val="20"/>
                <w:szCs w:val="20"/>
                <w:lang w:val="en-US" w:eastAsia="zh-CN"/>
              </w:rPr>
            </w:pPr>
            <w:r>
              <w:rPr>
                <w:rFonts w:hint="eastAsia" w:eastAsia="宋体" w:cs="Times New Roman"/>
                <w:bCs/>
                <w:kern w:val="0"/>
                <w:sz w:val="20"/>
                <w:szCs w:val="20"/>
                <w:lang w:val="en-US" w:eastAsia="zh-CN"/>
              </w:rPr>
              <w:t>2.1 Less than 5MHz for NTN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w:t>
      </w:r>
    </w:p>
    <w:p>
      <w:pPr>
        <w:pStyle w:val="78"/>
        <w:numPr>
          <w:ilvl w:val="1"/>
          <w:numId w:val="0"/>
        </w:numPr>
        <w:bidi w:val="0"/>
        <w:rPr>
          <w:rFonts w:hint="default"/>
          <w:lang w:val="en-US" w:eastAsia="zh-CN"/>
        </w:rPr>
      </w:pPr>
      <w:r>
        <w:rPr>
          <w:rFonts w:hint="eastAsia"/>
          <w:lang w:val="en-US" w:eastAsia="zh-CN"/>
        </w:rPr>
        <w:t>2.1 Less than 5MHz for NTN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rPr>
            </w:pPr>
            <w:r>
              <w:rPr>
                <w:b/>
              </w:rPr>
              <w:t>Less than 5MHz for NTN</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72"/>
              <w:numPr>
                <w:ilvl w:val="0"/>
                <w:numId w:val="3"/>
              </w:numPr>
              <w:ind w:firstLineChars="0"/>
              <w:jc w:val="left"/>
              <w:rPr>
                <w:rFonts w:ascii="Times New Roman" w:hAnsi="Times New Roman" w:cs="Times New Roman"/>
                <w:sz w:val="20"/>
                <w:szCs w:val="20"/>
                <w:highlight w:val="yellow"/>
              </w:rPr>
            </w:pPr>
            <w:r>
              <w:rPr>
                <w:rFonts w:ascii="Times New Roman" w:hAnsi="Times New Roman" w:cs="Times New Roman"/>
                <w:sz w:val="20"/>
                <w:szCs w:val="20"/>
                <w:highlight w:val="yellow"/>
              </w:rPr>
              <w:t>Specify the necessary RRM core requirements for less than 5 MHz for NR-NTN in FR1-NTN bands</w:t>
            </w:r>
          </w:p>
          <w:p>
            <w:pPr>
              <w:pStyle w:val="72"/>
              <w:numPr>
                <w:ilvl w:val="0"/>
                <w:numId w:val="3"/>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numPr>
                <w:ilvl w:val="0"/>
                <w:numId w:val="0"/>
              </w:numPr>
              <w:spacing w:after="0"/>
              <w:ind w:left="360" w:leftChars="0"/>
              <w:rPr>
                <w:rFonts w:ascii="Times New Roman" w:hAnsi="Times New Roman" w:eastAsia="宋体" w:cs="Times New Roman"/>
                <w:kern w:val="0"/>
                <w:sz w:val="20"/>
                <w:szCs w:val="20"/>
              </w:rPr>
            </w:pPr>
          </w:p>
        </w:tc>
      </w:tr>
    </w:tbl>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2.1.1 Requirements for NTN less than 5MHz</w:t>
      </w:r>
    </w:p>
    <w:p>
      <w:pPr>
        <w:rPr>
          <w:rFonts w:hint="eastAsia"/>
          <w:lang w:val="en-US" w:eastAsia="zh-CN"/>
        </w:rPr>
      </w:pPr>
      <w:r>
        <w:rPr>
          <w:rFonts w:hint="eastAsia"/>
          <w:lang w:val="en-US" w:eastAsia="zh-CN"/>
        </w:rPr>
        <w:t>We shall study potential impacts based on the contents in the following table. In the last meeting, we RAN4 has already agreed most of requirements:</w:t>
      </w:r>
    </w:p>
    <w:tbl>
      <w:tblPr>
        <w:tblStyle w:val="29"/>
        <w:tblW w:w="7450" w:type="dxa"/>
        <w:tblInd w:w="13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1"/>
        <w:gridCol w:w="2916"/>
        <w:gridCol w:w="283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eastAsia"/>
                <w:lang w:val="en-US" w:eastAsia="zh-CN"/>
              </w:rPr>
              <w:t xml:space="preserve"> </w:t>
            </w:r>
            <w:r>
              <w:rPr>
                <w:rFonts w:hint="default"/>
                <w:bCs/>
                <w:sz w:val="21"/>
                <w:szCs w:val="21"/>
              </w:rPr>
              <w:t>RRM requirements</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NTN requirements in TS38.133 v18.5.0</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suppressLineNumbers w:val="0"/>
              <w:spacing w:before="0" w:beforeAutospacing="0" w:after="0" w:afterAutospacing="0"/>
              <w:ind w:left="0" w:right="0"/>
              <w:rPr>
                <w:rFonts w:hint="default"/>
                <w:bCs/>
                <w:sz w:val="21"/>
                <w:szCs w:val="21"/>
              </w:rPr>
            </w:pPr>
            <w:r>
              <w:rPr>
                <w:rFonts w:hint="default"/>
                <w:bCs/>
                <w:sz w:val="21"/>
                <w:szCs w:val="21"/>
              </w:rPr>
              <w:t>Possible impacts if BW below 5MHz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IDLE/inactive mode mobility</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4.2C Cell Re-selection for NR UE for Satellite Access</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suppressLineNumbers w:val="0"/>
              <w:spacing w:before="0" w:beforeAutospacing="0" w:after="0" w:afterAutospacing="0"/>
              <w:ind w:left="0" w:right="0"/>
              <w:rPr>
                <w:rFonts w:hint="default"/>
                <w:sz w:val="21"/>
                <w:szCs w:val="21"/>
                <w:lang w:eastAsia="zh-CN"/>
              </w:rPr>
            </w:pPr>
            <w:r>
              <w:rPr>
                <w:rFonts w:hint="eastAsia"/>
                <w:sz w:val="21"/>
                <w:szCs w:val="21"/>
                <w:highlight w:val="green"/>
                <w:lang w:val="en-US" w:eastAsia="zh-CN"/>
              </w:rPr>
              <w:t>No RRM requirements impact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bCs/>
                <w:sz w:val="21"/>
                <w:szCs w:val="21"/>
                <w:lang w:eastAsia="zh-CN"/>
              </w:rPr>
            </w:pPr>
            <w:r>
              <w:rPr>
                <w:rFonts w:hint="default"/>
                <w:bCs/>
                <w:sz w:val="21"/>
                <w:szCs w:val="21"/>
                <w:lang w:eastAsia="zh-CN"/>
              </w:rPr>
              <w:t>RRC connection mobility control</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6.2C RRC Connection Mobility Control for Satellite Access</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4"/>
              </w:numPr>
              <w:suppressLineNumbers w:val="0"/>
              <w:spacing w:before="0" w:beforeAutospacing="0" w:after="0" w:afterAutospacing="0"/>
              <w:ind w:left="420" w:right="0" w:hanging="420"/>
              <w:rPr>
                <w:rFonts w:hint="eastAsia"/>
                <w:sz w:val="21"/>
                <w:szCs w:val="21"/>
                <w:highlight w:val="green"/>
                <w:lang w:val="en-US" w:eastAsia="zh-CN"/>
              </w:rPr>
            </w:pPr>
            <w:r>
              <w:rPr>
                <w:rFonts w:hint="eastAsia"/>
                <w:sz w:val="21"/>
                <w:szCs w:val="21"/>
                <w:highlight w:val="green"/>
                <w:lang w:val="en-US" w:eastAsia="zh-CN"/>
              </w:rPr>
              <w:t>RRC Re-establishment</w:t>
            </w:r>
          </w:p>
          <w:p>
            <w:pPr>
              <w:keepNext w:val="0"/>
              <w:keepLines w:val="0"/>
              <w:numPr>
                <w:ilvl w:val="0"/>
                <w:numId w:val="4"/>
              </w:numPr>
              <w:suppressLineNumbers w:val="0"/>
              <w:spacing w:before="0" w:beforeAutospacing="0" w:after="0" w:afterAutospacing="0"/>
              <w:ind w:left="420" w:right="0" w:hanging="420"/>
              <w:rPr>
                <w:rFonts w:hint="default"/>
                <w:sz w:val="21"/>
                <w:szCs w:val="21"/>
                <w:lang w:val="en-US" w:eastAsia="zh-CN"/>
              </w:rPr>
            </w:pPr>
            <w:r>
              <w:rPr>
                <w:rFonts w:hint="eastAsia"/>
                <w:sz w:val="21"/>
                <w:szCs w:val="21"/>
                <w:highlight w:val="yellow"/>
                <w:lang w:val="en-US" w:eastAsia="zh-CN"/>
              </w:rPr>
              <w:t>RRC connection release with redirection for satellite access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Handover</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6.1C Handover for SAN</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4"/>
              </w:numPr>
              <w:suppressLineNumbers w:val="0"/>
              <w:spacing w:before="0" w:beforeAutospacing="0" w:after="0" w:afterAutospacing="0"/>
              <w:ind w:left="420" w:right="0" w:hanging="420"/>
              <w:rPr>
                <w:rFonts w:hint="eastAsia"/>
                <w:sz w:val="21"/>
                <w:szCs w:val="21"/>
                <w:highlight w:val="yellow"/>
                <w:lang w:val="en-US" w:eastAsia="zh-CN"/>
              </w:rPr>
            </w:pPr>
            <w:r>
              <w:rPr>
                <w:rFonts w:hint="eastAsia"/>
                <w:sz w:val="21"/>
                <w:szCs w:val="21"/>
                <w:highlight w:val="yellow"/>
                <w:lang w:val="en-US" w:eastAsia="zh-CN"/>
              </w:rPr>
              <w:t>CHO with L3 measurement</w:t>
            </w:r>
          </w:p>
          <w:p>
            <w:pPr>
              <w:keepNext w:val="0"/>
              <w:keepLines w:val="0"/>
              <w:numPr>
                <w:ilvl w:val="0"/>
                <w:numId w:val="4"/>
              </w:numPr>
              <w:suppressLineNumbers w:val="0"/>
              <w:spacing w:before="0" w:beforeAutospacing="0" w:after="0" w:afterAutospacing="0"/>
              <w:ind w:left="420" w:right="0" w:hanging="420"/>
              <w:rPr>
                <w:rFonts w:hint="eastAsia"/>
                <w:sz w:val="21"/>
                <w:szCs w:val="21"/>
                <w:highlight w:val="green"/>
                <w:lang w:val="en-US" w:eastAsia="zh-CN"/>
              </w:rPr>
            </w:pPr>
            <w:r>
              <w:rPr>
                <w:rFonts w:hint="eastAsia"/>
                <w:sz w:val="21"/>
                <w:szCs w:val="21"/>
                <w:highlight w:val="green"/>
                <w:lang w:val="en-US" w:eastAsia="zh-CN"/>
              </w:rPr>
              <w:t>Satellite switch time</w:t>
            </w:r>
          </w:p>
          <w:p>
            <w:pPr>
              <w:keepNext w:val="0"/>
              <w:keepLines w:val="0"/>
              <w:numPr>
                <w:ilvl w:val="0"/>
                <w:numId w:val="4"/>
              </w:numPr>
              <w:suppressLineNumbers w:val="0"/>
              <w:spacing w:before="0" w:beforeAutospacing="0" w:after="0" w:afterAutospacing="0"/>
              <w:ind w:left="420" w:right="0" w:hanging="420"/>
              <w:rPr>
                <w:rFonts w:hint="default"/>
                <w:sz w:val="21"/>
                <w:szCs w:val="21"/>
                <w:lang w:eastAsia="zh-CN"/>
              </w:rPr>
            </w:pPr>
            <w:r>
              <w:rPr>
                <w:rFonts w:hint="eastAsia"/>
                <w:sz w:val="21"/>
                <w:szCs w:val="21"/>
                <w:highlight w:val="green"/>
                <w:lang w:val="en-US" w:eastAsia="zh-CN"/>
              </w:rPr>
              <w:t>Handover delay(RACH-based and RACH-less)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9"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UE Tx timing, MTTD/ MRTD, timer accuracy, TA accuracy</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sz w:val="21"/>
                <w:szCs w:val="21"/>
              </w:rPr>
              <w:t>7.1C, 7.2C, 7.3C</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4"/>
              </w:numPr>
              <w:suppressLineNumbers w:val="0"/>
              <w:spacing w:before="0" w:beforeAutospacing="0" w:after="0" w:afterAutospacing="0"/>
              <w:ind w:left="420" w:right="0" w:hanging="420"/>
              <w:rPr>
                <w:rFonts w:hint="default"/>
                <w:sz w:val="21"/>
                <w:szCs w:val="21"/>
                <w:lang w:eastAsia="zh-CN"/>
              </w:rPr>
            </w:pPr>
            <w:r>
              <w:rPr>
                <w:rFonts w:hint="eastAsia"/>
                <w:sz w:val="21"/>
                <w:szCs w:val="21"/>
                <w:highlight w:val="green"/>
                <w:lang w:val="en-US" w:eastAsia="zh-CN"/>
              </w:rPr>
              <w:t>No impact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8"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RLM</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82"/>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8.1C Radio Link Monitoring for Satellite Access</w:t>
            </w:r>
          </w:p>
          <w:p>
            <w:pPr>
              <w:keepNext/>
              <w:keepLines/>
              <w:numPr>
                <w:ilvl w:val="1"/>
                <w:numId w:val="0"/>
              </w:numPr>
              <w:suppressLineNumbers w:val="0"/>
              <w:spacing w:before="180" w:beforeAutospacing="0" w:after="0" w:afterAutospacing="0"/>
              <w:ind w:left="576" w:right="0" w:hanging="576"/>
              <w:outlineLvl w:val="1"/>
              <w:rPr>
                <w:rFonts w:hint="default" w:eastAsia="等线"/>
                <w:kern w:val="2"/>
                <w:sz w:val="21"/>
                <w:szCs w:val="21"/>
                <w:lang w:val="en-US" w:eastAsia="ko-KR"/>
              </w:rPr>
            </w:pPr>
            <w:r>
              <w:rPr>
                <w:rFonts w:hint="default" w:eastAsia="等线"/>
                <w:kern w:val="2"/>
                <w:sz w:val="21"/>
                <w:szCs w:val="21"/>
                <w:lang w:val="en-US" w:eastAsia="ko-KR"/>
              </w:rPr>
              <w:t xml:space="preserve">8.5C Link Recovery Procedures for Satellite Access </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4"/>
              </w:numPr>
              <w:suppressLineNumbers w:val="0"/>
              <w:spacing w:before="0" w:beforeAutospacing="0" w:after="0" w:afterAutospacing="0"/>
              <w:ind w:left="420" w:right="0" w:hanging="420"/>
              <w:rPr>
                <w:rFonts w:hint="eastAsia"/>
                <w:sz w:val="21"/>
                <w:szCs w:val="21"/>
                <w:highlight w:val="green"/>
                <w:lang w:val="en-US" w:eastAsia="zh-CN"/>
              </w:rPr>
            </w:pPr>
            <w:r>
              <w:rPr>
                <w:rFonts w:hint="eastAsia"/>
                <w:sz w:val="21"/>
                <w:szCs w:val="21"/>
                <w:highlight w:val="green"/>
                <w:lang w:val="en-US" w:eastAsia="zh-CN"/>
              </w:rPr>
              <w:t>Radio link monitoring (only SSB based)</w:t>
            </w:r>
          </w:p>
          <w:p>
            <w:pPr>
              <w:keepNext w:val="0"/>
              <w:keepLines w:val="0"/>
              <w:numPr>
                <w:ilvl w:val="0"/>
                <w:numId w:val="4"/>
              </w:numPr>
              <w:suppressLineNumbers w:val="0"/>
              <w:spacing w:before="0" w:beforeAutospacing="0" w:after="0" w:afterAutospacing="0"/>
              <w:ind w:left="420" w:right="0" w:hanging="420"/>
              <w:rPr>
                <w:rFonts w:hint="default"/>
                <w:highlight w:val="green"/>
              </w:rPr>
            </w:pPr>
            <w:r>
              <w:rPr>
                <w:rFonts w:hint="eastAsia"/>
                <w:sz w:val="21"/>
                <w:szCs w:val="21"/>
                <w:highlight w:val="green"/>
                <w:lang w:val="en-US" w:eastAsia="zh-CN"/>
              </w:rPr>
              <w:t>Link recovery procedures for satellite access</w:t>
            </w:r>
          </w:p>
          <w:p>
            <w:pPr>
              <w:keepNext w:val="0"/>
              <w:keepLines w:val="0"/>
              <w:numPr>
                <w:ilvl w:val="0"/>
                <w:numId w:val="4"/>
              </w:numPr>
              <w:suppressLineNumbers w:val="0"/>
              <w:spacing w:before="0" w:beforeAutospacing="0" w:after="0" w:afterAutospacing="0"/>
              <w:ind w:left="420" w:right="0" w:hanging="420"/>
              <w:rPr>
                <w:rFonts w:hint="default" w:eastAsia="宋体"/>
                <w:highlight w:val="green"/>
                <w:lang w:val="en-US" w:eastAsia="zh-CN"/>
              </w:rPr>
            </w:pPr>
            <w:r>
              <w:rPr>
                <w:rFonts w:hint="eastAsia"/>
                <w:highlight w:val="green"/>
                <w:lang w:val="en-US" w:eastAsia="zh-CN"/>
              </w:rPr>
              <w:t>Candidate beam detection (CBD)</w:t>
            </w:r>
          </w:p>
          <w:p>
            <w:pPr>
              <w:keepNext w:val="0"/>
              <w:keepLines w:val="0"/>
              <w:suppressLineNumbers w:val="0"/>
              <w:spacing w:before="0" w:beforeAutospacing="0" w:after="0" w:afterAutospacing="0"/>
              <w:ind w:left="0" w:right="0"/>
              <w:rPr>
                <w:rFonts w:hint="default"/>
                <w:sz w:val="21"/>
                <w:szCs w:val="21"/>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bCs/>
                <w:sz w:val="21"/>
                <w:szCs w:val="21"/>
                <w:lang w:val="en-US" w:eastAsia="zh-CN"/>
              </w:rPr>
            </w:pPr>
            <w:r>
              <w:rPr>
                <w:rFonts w:hint="eastAsia"/>
                <w:bCs/>
                <w:sz w:val="21"/>
                <w:szCs w:val="21"/>
                <w:lang w:val="en-US" w:eastAsia="zh-CN"/>
              </w:rPr>
              <w:t>Measurements</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82"/>
                <w:tab w:val="left" w:pos="2600"/>
              </w:tabs>
              <w:autoSpaceDE w:val="0"/>
              <w:autoSpaceDN w:val="0"/>
              <w:adjustRightInd w:val="0"/>
              <w:spacing w:before="0" w:beforeAutospacing="0" w:after="0" w:afterAutospacing="0"/>
              <w:ind w:left="0" w:right="0"/>
              <w:rPr>
                <w:rFonts w:hint="default"/>
                <w:sz w:val="21"/>
                <w:szCs w:val="21"/>
              </w:rPr>
            </w:pP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4"/>
              </w:numPr>
              <w:suppressLineNumbers w:val="0"/>
              <w:spacing w:before="0" w:beforeAutospacing="0" w:after="0" w:afterAutospacing="0"/>
              <w:ind w:left="420" w:leftChars="0" w:right="0" w:hanging="420" w:firstLineChars="0"/>
              <w:rPr>
                <w:rFonts w:hint="eastAsia"/>
                <w:sz w:val="21"/>
                <w:szCs w:val="21"/>
                <w:highlight w:val="yellow"/>
                <w:lang w:val="en-US" w:eastAsia="zh-CN"/>
              </w:rPr>
            </w:pPr>
            <w:r>
              <w:rPr>
                <w:rFonts w:hint="eastAsia"/>
                <w:sz w:val="21"/>
                <w:szCs w:val="21"/>
                <w:highlight w:val="yellow"/>
                <w:lang w:val="en-US" w:eastAsia="zh-CN"/>
              </w:rPr>
              <w:t>L3 measurement, define new requirements</w:t>
            </w:r>
          </w:p>
          <w:p>
            <w:pPr>
              <w:keepNext w:val="0"/>
              <w:keepLines w:val="0"/>
              <w:numPr>
                <w:ilvl w:val="0"/>
                <w:numId w:val="4"/>
              </w:numPr>
              <w:suppressLineNumbers w:val="0"/>
              <w:spacing w:before="0" w:beforeAutospacing="0" w:after="0" w:afterAutospacing="0"/>
              <w:ind w:left="420" w:leftChars="0" w:right="0" w:hanging="420" w:firstLineChars="0"/>
              <w:rPr>
                <w:rFonts w:hint="default"/>
                <w:sz w:val="21"/>
                <w:szCs w:val="21"/>
                <w:lang w:val="en-US" w:eastAsia="zh-CN"/>
              </w:rPr>
            </w:pPr>
            <w:r>
              <w:rPr>
                <w:rFonts w:hint="eastAsia"/>
                <w:sz w:val="21"/>
                <w:szCs w:val="21"/>
                <w:highlight w:val="green"/>
                <w:lang w:val="en-US" w:eastAsia="zh-CN"/>
              </w:rPr>
              <w:t>L1 RSRP measurement,no impact</w:t>
            </w:r>
          </w:p>
        </w:tc>
      </w:tr>
    </w:tbl>
    <w:p>
      <w:pPr>
        <w:rPr>
          <w:rFonts w:hint="default"/>
          <w:lang w:val="en-US" w:eastAsia="zh-CN"/>
        </w:rPr>
      </w:pPr>
    </w:p>
    <w:p>
      <w:pPr>
        <w:pStyle w:val="5"/>
        <w:rPr>
          <w:rFonts w:hint="default"/>
          <w:lang w:val="en-US" w:eastAsia="zh-CN"/>
        </w:rPr>
      </w:pPr>
      <w:r>
        <w:rPr>
          <w:rFonts w:hint="eastAsia"/>
          <w:lang w:val="en-US" w:eastAsia="zh-CN"/>
        </w:rPr>
        <w:t>2.1.1.1 RRC Connection release with redirection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b w:val="0"/>
          <w:bCs w:val="0"/>
          <w:sz w:val="22"/>
          <w:lang w:val="en-US" w:eastAsia="zh-CN"/>
        </w:rPr>
        <w:t xml:space="preserve">For this issue, the main requirements is the time for identifying the target NR cell in legacy TN and NTN which based on the SSB side conditions, the serving cell SSB </w:t>
      </w:r>
      <w:r>
        <w:rPr>
          <w:rFonts w:hint="eastAsia" w:eastAsia="宋体"/>
          <w:sz w:val="22"/>
          <w:lang w:val="en-US" w:eastAsia="zh-CN"/>
        </w:rPr>
        <w:t>Ês/Iot≥-8dB. However, we do not find the change of the SSB side conditions if the RRM requirement will be reused and even there is no RRM requirements for less than 5MHz in TN in spec. Thus, we deem that for RRC connection Release with re-direction, there is no RRM impacts on 3MHz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lang w:val="en-US" w:eastAsia="zh-CN"/>
        </w:rPr>
      </w:pPr>
      <w:r>
        <w:rPr>
          <w:rFonts w:hint="eastAsia" w:eastAsia="宋体"/>
          <w:b/>
          <w:bCs/>
          <w:sz w:val="22"/>
          <w:lang w:val="en-US" w:eastAsia="zh-CN"/>
        </w:rPr>
        <w:t>Observation 1: There is no RRM requirements for less than 5MHz in 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1: For RRC connection release with redirection, there is no RRM impacts on  3MHz in NTN scenario.</w:t>
      </w:r>
    </w:p>
    <w:p>
      <w:pPr>
        <w:pStyle w:val="5"/>
        <w:rPr>
          <w:rFonts w:hint="default"/>
          <w:lang w:val="en-US" w:eastAsia="zh-CN"/>
        </w:rPr>
      </w:pPr>
      <w:r>
        <w:rPr>
          <w:rFonts w:hint="eastAsia"/>
          <w:lang w:val="en-US" w:eastAsia="zh-CN"/>
        </w:rPr>
        <w:t xml:space="preserve">2.1.1.2 Handover/Conditional handover/Satellite switch </w:t>
      </w:r>
    </w:p>
    <w:p>
      <w:pPr>
        <w:rPr>
          <w:rFonts w:hint="eastAsia"/>
          <w:lang w:val="en-US" w:eastAsia="zh-CN"/>
        </w:rPr>
      </w:pPr>
      <w:r>
        <w:rPr>
          <w:rFonts w:hint="eastAsia"/>
          <w:lang w:val="en-US" w:eastAsia="zh-CN"/>
        </w:rPr>
        <w:t>In the last meeting, we reached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120"/>
              <w:rPr>
                <w:color w:val="0070C0"/>
              </w:rPr>
            </w:pPr>
            <w:r>
              <w:rPr>
                <w:rFonts w:hint="eastAsia"/>
                <w:color w:val="0070C0"/>
              </w:rPr>
              <w:t>A</w:t>
            </w:r>
            <w:r>
              <w:rPr>
                <w:color w:val="0070C0"/>
              </w:rPr>
              <w:t>greements/</w:t>
            </w:r>
            <w:r>
              <w:rPr>
                <w:rFonts w:hint="eastAsia"/>
                <w:color w:val="0070C0"/>
              </w:rPr>
              <w:t xml:space="preserve"> W</w:t>
            </w:r>
            <w:r>
              <w:rPr>
                <w:color w:val="0070C0"/>
              </w:rPr>
              <w:t>ay-</w:t>
            </w:r>
            <w:r>
              <w:rPr>
                <w:rFonts w:hint="eastAsia"/>
                <w:color w:val="0070C0"/>
                <w:lang w:eastAsia="zh-CN"/>
              </w:rPr>
              <w:t>f</w:t>
            </w:r>
            <w:r>
              <w:rPr>
                <w:color w:val="0070C0"/>
              </w:rPr>
              <w:t>orward:</w:t>
            </w:r>
          </w:p>
          <w:p>
            <w:pPr>
              <w:pStyle w:val="72"/>
              <w:widowControl w:val="0"/>
              <w:numPr>
                <w:ilvl w:val="0"/>
                <w:numId w:val="5"/>
              </w:numPr>
              <w:overflowPunct/>
              <w:autoSpaceDE/>
              <w:autoSpaceDN/>
              <w:adjustRightInd/>
              <w:spacing w:after="120" w:line="259" w:lineRule="auto"/>
              <w:ind w:left="376" w:leftChars="188" w:firstLineChars="0"/>
              <w:jc w:val="both"/>
              <w:textAlignment w:val="auto"/>
              <w:rPr>
                <w:highlight w:val="green"/>
                <w:lang w:eastAsia="zh-CN"/>
              </w:rPr>
            </w:pPr>
            <w:r>
              <w:rPr>
                <w:sz w:val="21"/>
                <w:szCs w:val="21"/>
                <w:highlight w:val="green"/>
                <w:lang w:eastAsia="zh-CN"/>
              </w:rPr>
              <w:t>for</w:t>
            </w:r>
            <w:r>
              <w:rPr>
                <w:highlight w:val="green"/>
              </w:rPr>
              <w:t xml:space="preserve"> CHO without L3 measurement</w:t>
            </w:r>
            <w:r>
              <w:rPr>
                <w:highlight w:val="green"/>
                <w:lang w:eastAsia="zh-CN"/>
              </w:rPr>
              <w:t xml:space="preserve">: </w:t>
            </w:r>
          </w:p>
          <w:p>
            <w:pPr>
              <w:pStyle w:val="72"/>
              <w:widowControl w:val="0"/>
              <w:numPr>
                <w:ilvl w:val="1"/>
                <w:numId w:val="5"/>
              </w:numPr>
              <w:overflowPunct/>
              <w:autoSpaceDE/>
              <w:autoSpaceDN/>
              <w:adjustRightInd/>
              <w:snapToGrid w:val="0"/>
              <w:spacing w:after="120"/>
              <w:ind w:firstLineChars="0"/>
              <w:jc w:val="both"/>
              <w:textAlignment w:val="auto"/>
              <w:rPr>
                <w:bCs/>
                <w:iCs/>
                <w:szCs w:val="21"/>
                <w:highlight w:val="green"/>
              </w:rPr>
            </w:pPr>
            <w:r>
              <w:rPr>
                <w:bCs/>
                <w:iCs/>
                <w:szCs w:val="21"/>
                <w:highlight w:val="green"/>
              </w:rPr>
              <w:t>T</w:t>
            </w:r>
            <w:r>
              <w:rPr>
                <w:bCs/>
                <w:iCs/>
                <w:szCs w:val="21"/>
                <w:highlight w:val="green"/>
                <w:vertAlign w:val="subscript"/>
              </w:rPr>
              <w:t>∆</w:t>
            </w:r>
            <w:r>
              <w:rPr>
                <w:bCs/>
                <w:iCs/>
                <w:szCs w:val="21"/>
                <w:highlight w:val="green"/>
              </w:rPr>
              <w:t xml:space="preserve"> in CHO requirement for NTN in exiting TS38.133 shall be extended to [3 Trs] </w:t>
            </w:r>
          </w:p>
          <w:p>
            <w:pPr>
              <w:pStyle w:val="72"/>
              <w:widowControl w:val="0"/>
              <w:numPr>
                <w:ilvl w:val="0"/>
                <w:numId w:val="5"/>
              </w:numPr>
              <w:overflowPunct/>
              <w:autoSpaceDE/>
              <w:autoSpaceDN/>
              <w:adjustRightInd/>
              <w:spacing w:after="120" w:line="259" w:lineRule="auto"/>
              <w:ind w:left="376" w:leftChars="188" w:firstLineChars="0"/>
              <w:jc w:val="both"/>
              <w:textAlignment w:val="auto"/>
              <w:rPr>
                <w:sz w:val="21"/>
                <w:szCs w:val="21"/>
                <w:lang w:eastAsia="zh-CN"/>
              </w:rPr>
            </w:pPr>
            <w:r>
              <w:rPr>
                <w:sz w:val="21"/>
                <w:szCs w:val="21"/>
                <w:lang w:eastAsia="zh-CN"/>
              </w:rPr>
              <w:t xml:space="preserve">FFS on </w:t>
            </w:r>
            <w:r>
              <w:rPr>
                <w:rFonts w:hint="eastAsia"/>
                <w:sz w:val="21"/>
                <w:szCs w:val="21"/>
                <w:lang w:eastAsia="zh-CN"/>
              </w:rPr>
              <w:t>f</w:t>
            </w:r>
            <w:r>
              <w:rPr>
                <w:sz w:val="21"/>
                <w:szCs w:val="21"/>
                <w:lang w:eastAsia="zh-CN"/>
              </w:rPr>
              <w:t xml:space="preserve">or CHO with L3 measurement: </w:t>
            </w:r>
          </w:p>
          <w:p>
            <w:pPr>
              <w:pStyle w:val="72"/>
              <w:widowControl w:val="0"/>
              <w:numPr>
                <w:ilvl w:val="1"/>
                <w:numId w:val="5"/>
              </w:numPr>
              <w:overflowPunct/>
              <w:autoSpaceDE/>
              <w:autoSpaceDN/>
              <w:adjustRightInd/>
              <w:spacing w:after="120" w:line="259" w:lineRule="auto"/>
              <w:ind w:firstLineChars="0"/>
              <w:jc w:val="both"/>
              <w:textAlignment w:val="auto"/>
              <w:rPr>
                <w:sz w:val="21"/>
                <w:szCs w:val="21"/>
                <w:lang w:eastAsia="zh-CN"/>
              </w:rPr>
            </w:pPr>
            <w:r>
              <w:rPr>
                <w:bCs/>
                <w:iCs/>
                <w:sz w:val="21"/>
                <w:szCs w:val="21"/>
                <w:lang w:eastAsia="zh-CN"/>
              </w:rPr>
              <w:t>T</w:t>
            </w:r>
            <w:r>
              <w:rPr>
                <w:bCs/>
                <w:iCs/>
                <w:lang w:eastAsia="zh-CN"/>
              </w:rPr>
              <w:t>measure</w:t>
            </w:r>
            <w:r>
              <w:rPr>
                <w:bCs/>
                <w:iCs/>
                <w:sz w:val="21"/>
                <w:szCs w:val="21"/>
                <w:lang w:eastAsia="zh-CN"/>
              </w:rPr>
              <w:t xml:space="preserve"> which is same as the definition for </w:t>
            </w:r>
            <w:r>
              <w:rPr>
                <w:bCs/>
                <w:sz w:val="21"/>
                <w:szCs w:val="21"/>
              </w:rPr>
              <w:t>T</w:t>
            </w:r>
            <w:r>
              <w:rPr>
                <w:bCs/>
              </w:rPr>
              <w:t>identify_intra_with_index</w:t>
            </w:r>
            <w:r>
              <w:rPr>
                <w:bCs/>
                <w:sz w:val="21"/>
                <w:szCs w:val="21"/>
              </w:rPr>
              <w:t xml:space="preserve"> and T</w:t>
            </w:r>
            <w:r>
              <w:rPr>
                <w:bCs/>
              </w:rPr>
              <w:t>identify_inter_with_index</w:t>
            </w:r>
            <w:r>
              <w:rPr>
                <w:rFonts w:hint="eastAsia"/>
                <w:bCs/>
                <w:iCs/>
                <w:sz w:val="21"/>
                <w:szCs w:val="21"/>
                <w:lang w:eastAsia="zh-CN"/>
              </w:rPr>
              <w:t xml:space="preserve"> </w:t>
            </w:r>
            <w:r>
              <w:rPr>
                <w:bCs/>
                <w:iCs/>
                <w:sz w:val="21"/>
                <w:szCs w:val="21"/>
                <w:lang w:eastAsia="zh-CN"/>
              </w:rPr>
              <w:t xml:space="preserve">in issue 1-2-4-2 </w:t>
            </w:r>
            <w:r>
              <w:rPr>
                <w:rFonts w:hint="eastAsia"/>
                <w:bCs/>
                <w:iCs/>
                <w:sz w:val="21"/>
                <w:szCs w:val="21"/>
                <w:lang w:eastAsia="zh-CN"/>
              </w:rPr>
              <w:t>wil</w:t>
            </w:r>
            <w:r>
              <w:rPr>
                <w:bCs/>
                <w:iCs/>
                <w:sz w:val="21"/>
                <w:szCs w:val="21"/>
                <w:lang w:eastAsia="zh-CN"/>
              </w:rPr>
              <w:t>l be extended</w:t>
            </w:r>
            <w:r>
              <w:rPr>
                <w:bCs/>
                <w:iCs/>
                <w:szCs w:val="21"/>
              </w:rPr>
              <w:t xml:space="preserve"> </w:t>
            </w:r>
          </w:p>
          <w:p>
            <w:pPr>
              <w:pStyle w:val="72"/>
              <w:widowControl w:val="0"/>
              <w:numPr>
                <w:ilvl w:val="1"/>
                <w:numId w:val="5"/>
              </w:numPr>
              <w:overflowPunct/>
              <w:autoSpaceDE/>
              <w:autoSpaceDN/>
              <w:adjustRightInd/>
              <w:spacing w:after="120" w:line="259" w:lineRule="auto"/>
              <w:ind w:firstLineChars="0"/>
              <w:jc w:val="both"/>
              <w:textAlignment w:val="auto"/>
              <w:rPr>
                <w:sz w:val="22"/>
                <w:szCs w:val="22"/>
                <w:lang w:eastAsia="zh-CN"/>
              </w:rPr>
            </w:pPr>
            <w:r>
              <w:rPr>
                <w:bCs/>
                <w:iCs/>
                <w:sz w:val="21"/>
                <w:szCs w:val="22"/>
              </w:rPr>
              <w:t>T</w:t>
            </w:r>
            <w:r>
              <w:rPr>
                <w:bCs/>
                <w:iCs/>
                <w:sz w:val="21"/>
                <w:szCs w:val="22"/>
                <w:vertAlign w:val="subscript"/>
              </w:rPr>
              <w:t>∆</w:t>
            </w:r>
            <w:r>
              <w:rPr>
                <w:bCs/>
                <w:iCs/>
                <w:sz w:val="21"/>
                <w:szCs w:val="22"/>
              </w:rPr>
              <w:t xml:space="preserve"> in CHO requirement for NTN in exiting TS38.133 shall be extended to [3 Trs]</w:t>
            </w:r>
          </w:p>
          <w:p>
            <w:pPr>
              <w:rPr>
                <w:rFonts w:hint="default"/>
                <w:vertAlign w:val="baseline"/>
                <w:lang w:val="en-US" w:eastAsia="zh-CN"/>
              </w:rPr>
            </w:pPr>
          </w:p>
        </w:tc>
      </w:tr>
    </w:tbl>
    <w:p>
      <w:pPr>
        <w:rPr>
          <w:rFonts w:hint="default"/>
          <w:lang w:val="en-US" w:eastAsia="zh-CN"/>
        </w:rPr>
      </w:pPr>
      <w:r>
        <w:rPr>
          <w:rFonts w:hint="eastAsia"/>
          <w:lang w:val="en-US" w:eastAsia="zh-CN"/>
        </w:rPr>
        <w:t>We will study the related delay requirements for handover.</w:t>
      </w:r>
    </w:p>
    <w:p>
      <w:pPr>
        <w:pStyle w:val="6"/>
        <w:rPr>
          <w:rFonts w:hint="eastAsia"/>
          <w:sz w:val="24"/>
          <w:szCs w:val="21"/>
          <w:lang w:val="en-US" w:eastAsia="zh-CN"/>
        </w:rPr>
      </w:pPr>
      <w:r>
        <w:rPr>
          <w:rFonts w:hint="eastAsia"/>
          <w:sz w:val="24"/>
          <w:szCs w:val="21"/>
          <w:lang w:val="en-US" w:eastAsia="zh-CN"/>
        </w:rPr>
        <w:t>2.1.1.1.1 Conditional Handover</w:t>
      </w:r>
    </w:p>
    <w:p>
      <w:pPr>
        <w:rPr>
          <w:rFonts w:hint="default"/>
          <w:lang w:val="en-US" w:eastAsia="zh-CN"/>
        </w:rPr>
      </w:pPr>
      <w:r>
        <w:rPr>
          <w:rFonts w:hint="eastAsia"/>
          <w:lang w:val="en-US" w:eastAsia="zh-CN"/>
        </w:rPr>
        <w:t>We also find there is the impact on conditional handover and RAN4 shall consider studying it. Conditional handover contains two parts: Conditional handover with L3 measurement in NTN and Conditional handover without L3 measurement in NTN. In the last meeting, we have already defined requirements on conditional handover without L3 measurement. In this part we mainly focus on the conditional handover delay with L3 measurement.</w:t>
      </w:r>
    </w:p>
    <w:p>
      <w:pPr>
        <w:rPr>
          <w:rFonts w:hint="default"/>
          <w:lang w:val="en-US" w:eastAsia="zh-CN"/>
        </w:rPr>
      </w:pPr>
      <w:r>
        <w:rPr>
          <w:rFonts w:hint="eastAsia"/>
          <w:b/>
          <w:bCs/>
          <w:i/>
          <w:iCs/>
          <w:lang w:val="en-US" w:eastAsia="zh-CN"/>
        </w:rPr>
        <w:t xml:space="preserve">Conditional handover delay with L3 measurement </w:t>
      </w:r>
    </w:p>
    <w:p>
      <w:pPr>
        <w:rPr>
          <w:rFonts w:hint="eastAsia"/>
          <w:lang w:val="en-US" w:eastAsia="zh-CN"/>
        </w:rPr>
      </w:pPr>
      <w:r>
        <w:rPr>
          <w:rFonts w:hint="eastAsia"/>
          <w:lang w:val="en-US" w:eastAsia="zh-CN"/>
        </w:rPr>
        <w:t>UE shall start RRM measurement before the time or distance condition is met. For the conditional handover delay with L3 measurement, the main handover delay is:</w:t>
      </w:r>
    </w:p>
    <w:p>
      <w:pPr>
        <w:jc w:val="center"/>
        <w:rPr>
          <w:vertAlign w:val="subscript"/>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The definition of T</w:t>
      </w:r>
      <w:r>
        <w:rPr>
          <w:rFonts w:hint="eastAsia"/>
          <w:vertAlign w:val="subscript"/>
          <w:lang w:val="en-US" w:eastAsia="zh-CN"/>
        </w:rPr>
        <w:t>interrupt</w:t>
      </w:r>
      <w:r>
        <w:rPr>
          <w:rFonts w:hint="eastAsia"/>
          <w:vertAlign w:val="baseline"/>
          <w:lang w:val="en-US" w:eastAsia="zh-CN"/>
        </w:rPr>
        <w:t xml:space="preserve"> is:</w:t>
      </w:r>
    </w:p>
    <w:p>
      <w:pPr>
        <w:pStyle w:val="35"/>
        <w:jc w:val="center"/>
        <w:rPr>
          <w:rFonts w:hint="eastAsia"/>
          <w:vertAlign w:val="baseline"/>
          <w:lang w:val="en-US" w:eastAsia="zh-CN"/>
        </w:rPr>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pPr>
        <w:jc w:val="both"/>
        <w:rPr>
          <w:rFonts w:hint="default"/>
          <w:vertAlign w:val="baseline"/>
          <w:lang w:val="en-US" w:eastAsia="zh-CN"/>
        </w:rPr>
      </w:pPr>
      <w:r>
        <w:rPr>
          <w:rFonts w:hint="eastAsia"/>
          <w:vertAlign w:val="baseline"/>
          <w:lang w:val="en-US" w:eastAsia="zh-CN"/>
        </w:rPr>
        <w:t>And the measurement time delay T</w:t>
      </w:r>
      <w:r>
        <w:rPr>
          <w:rFonts w:hint="eastAsia"/>
          <w:vertAlign w:val="subscript"/>
          <w:lang w:val="en-US" w:eastAsia="zh-CN"/>
        </w:rPr>
        <w:t>measure</w:t>
      </w:r>
      <w:r>
        <w:rPr>
          <w:rFonts w:hint="eastAsia"/>
          <w:vertAlign w:val="baseline"/>
          <w:lang w:val="en-US" w:eastAsia="zh-CN"/>
        </w:rPr>
        <w:t xml:space="preserve"> is defined from the end of T</w:t>
      </w:r>
      <w:r>
        <w:rPr>
          <w:rFonts w:hint="eastAsia"/>
          <w:vertAlign w:val="subscript"/>
          <w:lang w:val="en-US" w:eastAsia="zh-CN"/>
        </w:rPr>
        <w:t>Event_DU</w:t>
      </w:r>
      <w:r>
        <w:rPr>
          <w:rFonts w:hint="eastAsia"/>
          <w:vertAlign w:val="baseline"/>
          <w:lang w:val="en-US" w:eastAsia="zh-CN"/>
        </w:rPr>
        <w:t xml:space="preserve"> until UE executes a handover to a target cell and interruption time starts.</w:t>
      </w:r>
    </w:p>
    <w:p>
      <w:pPr>
        <w:jc w:val="both"/>
        <w:rPr>
          <w:rFonts w:hint="eastAsia" w:eastAsia="宋体"/>
          <w:lang w:val="en-US" w:eastAsia="zh-CN"/>
        </w:rPr>
      </w:pPr>
      <w:r>
        <w:rPr>
          <w:rFonts w:hint="eastAsia"/>
          <w:vertAlign w:val="baseline"/>
          <w:lang w:val="en-US" w:eastAsia="zh-CN"/>
        </w:rPr>
        <w:t>Each component has the different definition and we shall focus on the parameters which will be impacted by punctured PBCH. From my perspective, only T</w:t>
      </w:r>
      <w:r>
        <w:rPr>
          <w:rFonts w:hint="eastAsia"/>
          <w:vertAlign w:val="subscript"/>
          <w:lang w:val="en-US" w:eastAsia="zh-CN"/>
        </w:rPr>
        <w:t>measure</w:t>
      </w:r>
      <w:r>
        <w:rPr>
          <w:rFonts w:hint="eastAsia"/>
          <w:vertAlign w:val="baseline"/>
          <w:lang w:val="en-US" w:eastAsia="zh-CN"/>
        </w:rPr>
        <w:t xml:space="preserve"> and T</w:t>
      </w:r>
      <w:r>
        <w:rPr>
          <w:rFonts w:hint="eastAsia"/>
          <w:vertAlign w:val="subscript"/>
          <w:lang w:val="en-US" w:eastAsia="zh-CN"/>
        </w:rPr>
        <w:t>interrupt</w:t>
      </w:r>
      <w:r>
        <w:rPr>
          <w:rFonts w:hint="eastAsia"/>
          <w:vertAlign w:val="baseline"/>
          <w:lang w:val="en-US" w:eastAsia="zh-CN"/>
        </w:rPr>
        <w:t xml:space="preserve"> will be impacted since they depend on PBCH detection. From the TS38.133, we know that the measurement time delay L3 filtering shall be less than </w:t>
      </w:r>
      <w:r>
        <w:t>T</w:t>
      </w:r>
      <w:r>
        <w:rPr>
          <w:sz w:val="13"/>
          <w:szCs w:val="13"/>
        </w:rPr>
        <w:t xml:space="preserve">identify_inter_with_index </w:t>
      </w:r>
      <w:r>
        <w:t>or T</w:t>
      </w:r>
      <w:r>
        <w:rPr>
          <w:sz w:val="13"/>
          <w:szCs w:val="13"/>
        </w:rPr>
        <w:t xml:space="preserve">identify_inter_without_index </w:t>
      </w:r>
      <w:r>
        <w:t xml:space="preserve">defined in clause </w:t>
      </w:r>
      <w:r>
        <w:rPr>
          <w:rFonts w:hint="eastAsia" w:eastAsia="宋体"/>
          <w:lang w:val="en-US" w:eastAsia="zh-CN"/>
        </w:rPr>
        <w:t>nine which is related to T</w:t>
      </w:r>
      <w:r>
        <w:rPr>
          <w:rFonts w:hint="eastAsia" w:eastAsia="宋体"/>
          <w:vertAlign w:val="subscript"/>
          <w:lang w:val="en-US" w:eastAsia="zh-CN"/>
        </w:rPr>
        <w:t>SSB time index</w:t>
      </w:r>
      <w:r>
        <w:rPr>
          <w:rFonts w:hint="eastAsia" w:eastAsia="宋体"/>
          <w:lang w:val="en-US" w:eastAsia="zh-CN"/>
        </w:rPr>
        <w:t xml:space="preserve"> and T</w:t>
      </w:r>
      <w:r>
        <w:rPr>
          <w:rFonts w:hint="eastAsia" w:eastAsia="宋体"/>
          <w:vertAlign w:val="subscript"/>
          <w:lang w:val="en-US" w:eastAsia="zh-CN"/>
        </w:rPr>
        <w:t>PSS/SSS sync</w:t>
      </w:r>
      <w:r>
        <w:rPr>
          <w:rFonts w:hint="eastAsia" w:eastAsia="宋体"/>
          <w:lang w:val="en-US" w:eastAsia="zh-CN"/>
        </w:rPr>
        <w:t>. For T</w:t>
      </w:r>
      <w:r>
        <w:rPr>
          <w:rFonts w:hint="eastAsia" w:eastAsia="宋体"/>
          <w:vertAlign w:val="subscript"/>
          <w:lang w:val="en-US" w:eastAsia="zh-CN"/>
        </w:rPr>
        <w:t>interrupt</w:t>
      </w:r>
      <w:r>
        <w:rPr>
          <w:rFonts w:hint="eastAsia" w:eastAsia="宋体"/>
          <w:lang w:val="en-US" w:eastAsia="zh-CN"/>
        </w:rPr>
        <w:t xml:space="preserve">, it depends on SSB index reading. </w:t>
      </w:r>
    </w:p>
    <w:p>
      <w:pPr>
        <w:jc w:val="both"/>
        <w:rPr>
          <w:rFonts w:hint="eastAsia" w:eastAsia="宋体"/>
          <w:lang w:val="en-US" w:eastAsia="zh-CN"/>
        </w:rPr>
      </w:pPr>
      <w:r>
        <w:rPr>
          <w:rFonts w:hint="eastAsia" w:eastAsia="宋体"/>
          <w:lang w:val="en-US" w:eastAsia="zh-CN"/>
        </w:rPr>
        <w:t>For TΔ, we shall follow the legacy TN extension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1" w:type="dxa"/>
          </w:tcPr>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lang w:eastAsia="en-GB"/>
              </w:rPr>
              <w:t>T</w:t>
            </w:r>
            <w:r>
              <w:rPr>
                <w:rFonts w:eastAsia="Times New Roman"/>
                <w:sz w:val="20"/>
                <w:vertAlign w:val="subscript"/>
                <w:lang w:eastAsia="en-GB"/>
              </w:rPr>
              <w:t>∆</w:t>
            </w:r>
            <w:r>
              <w:rPr>
                <w:rFonts w:eastAsia="Times New Roman"/>
                <w:sz w:val="20"/>
                <w:lang w:eastAsia="en-GB"/>
              </w:rPr>
              <w:t xml:space="preserve"> is time for fine time tracking and acquiring full timing information of the target cell. </w:t>
            </w:r>
          </w:p>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lang w:eastAsia="en-GB"/>
              </w:rPr>
              <w:t>T</w:t>
            </w:r>
            <w:r>
              <w:rPr>
                <w:rFonts w:eastAsia="Times New Roman"/>
                <w:sz w:val="20"/>
                <w:vertAlign w:val="subscript"/>
                <w:lang w:eastAsia="en-GB"/>
              </w:rPr>
              <w:t>∆</w:t>
            </w:r>
            <w:r>
              <w:rPr>
                <w:rFonts w:eastAsia="Times New Roman"/>
                <w:sz w:val="20"/>
                <w:lang w:eastAsia="en-GB"/>
              </w:rPr>
              <w:t xml:space="preserve"> = T</w:t>
            </w:r>
            <w:r>
              <w:rPr>
                <w:rFonts w:eastAsia="Times New Roman"/>
                <w:sz w:val="20"/>
                <w:vertAlign w:val="subscript"/>
                <w:lang w:eastAsia="en-GB"/>
              </w:rPr>
              <w:t xml:space="preserve">rs </w:t>
            </w:r>
            <w:r>
              <w:rPr>
                <w:rFonts w:eastAsia="Times New Roman"/>
                <w:sz w:val="20"/>
                <w:lang w:eastAsia="en-GB"/>
              </w:rPr>
              <w:t xml:space="preserve">for both known and unknown target cells operating with 20 PRB SSB BW. </w:t>
            </w:r>
          </w:p>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highlight w:val="green"/>
                <w:lang w:eastAsia="en-GB"/>
              </w:rPr>
              <w:t>T</w:t>
            </w:r>
            <w:r>
              <w:rPr>
                <w:rFonts w:eastAsia="Times New Roman"/>
                <w:sz w:val="20"/>
                <w:highlight w:val="green"/>
                <w:vertAlign w:val="subscript"/>
                <w:lang w:eastAsia="en-GB"/>
              </w:rPr>
              <w:t>∆</w:t>
            </w:r>
            <w:r>
              <w:rPr>
                <w:rFonts w:eastAsia="Times New Roman"/>
                <w:sz w:val="20"/>
                <w:highlight w:val="green"/>
                <w:lang w:eastAsia="en-GB"/>
              </w:rPr>
              <w:t xml:space="preserve"> = 3*T</w:t>
            </w:r>
            <w:r>
              <w:rPr>
                <w:rFonts w:eastAsia="Times New Roman"/>
                <w:sz w:val="20"/>
                <w:highlight w:val="green"/>
                <w:vertAlign w:val="subscript"/>
                <w:lang w:eastAsia="en-GB"/>
              </w:rPr>
              <w:t xml:space="preserve">rs </w:t>
            </w:r>
            <w:r>
              <w:rPr>
                <w:rFonts w:eastAsia="Times New Roman"/>
                <w:sz w:val="20"/>
                <w:highlight w:val="green"/>
                <w:lang w:eastAsia="en-GB"/>
              </w:rPr>
              <w:t>for both known and unknown target cells operating with 12 PRB SSB BW.</w:t>
            </w:r>
            <w:r>
              <w:rPr>
                <w:rFonts w:eastAsia="Times New Roman"/>
                <w:sz w:val="20"/>
                <w:lang w:eastAsia="en-GB"/>
              </w:rPr>
              <w:t xml:space="preserve"> </w:t>
            </w:r>
          </w:p>
        </w:tc>
      </w:tr>
    </w:tbl>
    <w:p>
      <w:pPr>
        <w:jc w:val="both"/>
        <w:rPr>
          <w:rFonts w:hint="default" w:eastAsia="宋体"/>
          <w:vertAlign w:val="baseline"/>
          <w:lang w:val="en-US" w:eastAsia="zh-CN"/>
        </w:rPr>
      </w:pPr>
      <w:r>
        <w:rPr>
          <w:rFonts w:hint="eastAsia" w:eastAsia="宋体"/>
          <w:vertAlign w:val="baseline"/>
          <w:lang w:val="en-US" w:eastAsia="zh-CN"/>
        </w:rPr>
        <w:t>Few companies has one concern that if the Tmeasure and TΔshall be enhanced both. From my perspective, T</w:t>
      </w:r>
      <w:r>
        <w:rPr>
          <w:rFonts w:hint="eastAsia" w:eastAsia="宋体"/>
          <w:vertAlign w:val="subscript"/>
          <w:lang w:val="en-US" w:eastAsia="zh-CN"/>
        </w:rPr>
        <w:t>measure</w:t>
      </w:r>
      <w:r>
        <w:rPr>
          <w:rFonts w:hint="eastAsia" w:eastAsia="宋体"/>
          <w:vertAlign w:val="baseline"/>
          <w:lang w:val="en-US" w:eastAsia="zh-CN"/>
        </w:rPr>
        <w:t xml:space="preserve"> depends on the another clause in TS38.133 and whether  the T</w:t>
      </w:r>
      <w:r>
        <w:rPr>
          <w:rFonts w:hint="eastAsia" w:eastAsia="宋体"/>
          <w:vertAlign w:val="subscript"/>
          <w:lang w:val="en-US" w:eastAsia="zh-CN"/>
        </w:rPr>
        <w:t>measure</w:t>
      </w:r>
      <w:r>
        <w:rPr>
          <w:rFonts w:hint="eastAsia" w:eastAsia="宋体"/>
          <w:vertAlign w:val="baseline"/>
          <w:lang w:val="en-US" w:eastAsia="zh-CN"/>
        </w:rPr>
        <w:t xml:space="preserve"> shall be enhanced or not shall depend on whether RAN4 define new L3 measurement requirements or not. For  TΔ, we shall only follow the same legacy TN  principle.</w:t>
      </w:r>
    </w:p>
    <w:p>
      <w:pPr>
        <w:jc w:val="both"/>
        <w:rPr>
          <w:rFonts w:hint="eastAsia"/>
          <w:b/>
          <w:bCs/>
          <w:vertAlign w:val="baseline"/>
          <w:lang w:val="en-US" w:eastAsia="zh-CN"/>
        </w:rPr>
      </w:pPr>
      <w:r>
        <w:rPr>
          <w:rFonts w:hint="eastAsia" w:eastAsia="宋体"/>
          <w:b/>
          <w:bCs/>
          <w:vertAlign w:val="baseline"/>
          <w:lang w:val="en-US" w:eastAsia="zh-CN"/>
        </w:rPr>
        <w:t xml:space="preserve">Observation 2: </w:t>
      </w:r>
      <w:r>
        <w:rPr>
          <w:rFonts w:hint="eastAsia"/>
          <w:b/>
          <w:bCs/>
          <w:vertAlign w:val="baseline"/>
          <w:lang w:val="en-US" w:eastAsia="zh-CN"/>
        </w:rPr>
        <w:t>T</w:t>
      </w:r>
      <w:r>
        <w:rPr>
          <w:rFonts w:hint="eastAsia"/>
          <w:b/>
          <w:bCs/>
          <w:vertAlign w:val="subscript"/>
          <w:lang w:val="en-US" w:eastAsia="zh-CN"/>
        </w:rPr>
        <w:t>measure</w:t>
      </w:r>
      <w:r>
        <w:rPr>
          <w:rFonts w:hint="eastAsia"/>
          <w:b/>
          <w:bCs/>
          <w:vertAlign w:val="baseline"/>
          <w:lang w:val="en-US" w:eastAsia="zh-CN"/>
        </w:rPr>
        <w:t xml:space="preserve"> and T</w:t>
      </w:r>
      <w:r>
        <w:rPr>
          <w:rFonts w:hint="eastAsia"/>
          <w:b/>
          <w:bCs/>
          <w:vertAlign w:val="subscript"/>
          <w:lang w:val="en-US" w:eastAsia="zh-CN"/>
        </w:rPr>
        <w:t>interrupt</w:t>
      </w:r>
      <w:r>
        <w:rPr>
          <w:rFonts w:hint="eastAsia"/>
          <w:b/>
          <w:bCs/>
          <w:vertAlign w:val="baseline"/>
          <w:lang w:val="en-US" w:eastAsia="zh-CN"/>
        </w:rPr>
        <w:t xml:space="preserve"> will be impacted since they depend on PBCH detection.</w:t>
      </w:r>
    </w:p>
    <w:p>
      <w:pPr>
        <w:jc w:val="both"/>
        <w:rPr>
          <w:rFonts w:hint="eastAsia" w:eastAsia="宋体"/>
          <w:b/>
          <w:bCs/>
          <w:vertAlign w:val="baseline"/>
          <w:lang w:val="en-US" w:eastAsia="zh-CN"/>
        </w:rPr>
      </w:pPr>
      <w:r>
        <w:rPr>
          <w:rFonts w:hint="eastAsia" w:eastAsia="宋体"/>
          <w:b/>
          <w:bCs/>
          <w:vertAlign w:val="baseline"/>
          <w:lang w:val="en-US" w:eastAsia="zh-CN"/>
        </w:rPr>
        <w:t>Proposal 2: Whether the T</w:t>
      </w:r>
      <w:r>
        <w:rPr>
          <w:rFonts w:hint="eastAsia" w:eastAsia="宋体"/>
          <w:b/>
          <w:bCs/>
          <w:vertAlign w:val="subscript"/>
          <w:lang w:val="en-US" w:eastAsia="zh-CN"/>
        </w:rPr>
        <w:t>measure</w:t>
      </w:r>
      <w:r>
        <w:rPr>
          <w:rFonts w:hint="eastAsia" w:eastAsia="宋体"/>
          <w:b/>
          <w:bCs/>
          <w:vertAlign w:val="baseline"/>
          <w:lang w:val="en-US" w:eastAsia="zh-CN"/>
        </w:rPr>
        <w:t xml:space="preserve"> in conditional handover with L3 measurement shall be enhanced or not shall depend on whether RAN4 defines new L3 measurement requirements.</w:t>
      </w:r>
    </w:p>
    <w:p>
      <w:pPr>
        <w:jc w:val="both"/>
        <w:rPr>
          <w:rFonts w:hint="default" w:eastAsia="宋体"/>
          <w:b/>
          <w:bCs/>
          <w:vertAlign w:val="baseline"/>
          <w:lang w:val="en-US" w:eastAsia="zh-CN"/>
        </w:rPr>
      </w:pPr>
      <w:r>
        <w:rPr>
          <w:rFonts w:hint="eastAsia" w:eastAsia="宋体"/>
          <w:b/>
          <w:bCs/>
          <w:vertAlign w:val="baseline"/>
          <w:lang w:val="en-US" w:eastAsia="zh-CN"/>
        </w:rPr>
        <w:t>Proposal 3: TΔ shall be extended to 3*T</w:t>
      </w:r>
      <w:r>
        <w:rPr>
          <w:rFonts w:hint="eastAsia" w:eastAsia="宋体"/>
          <w:b/>
          <w:bCs/>
          <w:vertAlign w:val="subscript"/>
          <w:lang w:val="en-US" w:eastAsia="zh-CN"/>
        </w:rPr>
        <w:t>rs</w:t>
      </w:r>
      <w:r>
        <w:rPr>
          <w:rFonts w:hint="eastAsia" w:eastAsia="宋体"/>
          <w:b/>
          <w:bCs/>
          <w:vertAlign w:val="baseline"/>
          <w:lang w:val="en-US" w:eastAsia="zh-CN"/>
        </w:rPr>
        <w:t>.</w:t>
      </w:r>
    </w:p>
    <w:p>
      <w:pPr>
        <w:pStyle w:val="5"/>
        <w:rPr>
          <w:rFonts w:hint="eastAsia" w:eastAsia="宋体"/>
          <w:sz w:val="28"/>
          <w:szCs w:val="28"/>
          <w:lang w:val="en-US" w:eastAsia="zh-CN"/>
        </w:rPr>
      </w:pPr>
      <w:r>
        <w:rPr>
          <w:rFonts w:hint="eastAsia" w:eastAsia="Times New Roman"/>
          <w:sz w:val="24"/>
          <w:szCs w:val="20"/>
          <w:lang w:val="en-US" w:eastAsia="zh-CN"/>
        </w:rPr>
        <w:t>2.1.</w:t>
      </w:r>
      <w:r>
        <w:rPr>
          <w:rFonts w:hint="eastAsia"/>
          <w:sz w:val="24"/>
          <w:szCs w:val="20"/>
          <w:lang w:val="en-US" w:eastAsia="zh-CN"/>
        </w:rPr>
        <w:t>1</w:t>
      </w:r>
      <w:r>
        <w:rPr>
          <w:rFonts w:hint="eastAsia" w:eastAsia="Times New Roman"/>
          <w:sz w:val="24"/>
          <w:szCs w:val="20"/>
          <w:lang w:val="en-US" w:eastAsia="zh-CN"/>
        </w:rPr>
        <w:t>.</w:t>
      </w:r>
      <w:r>
        <w:rPr>
          <w:rFonts w:hint="eastAsia"/>
          <w:sz w:val="24"/>
          <w:szCs w:val="20"/>
          <w:lang w:val="en-US" w:eastAsia="zh-CN"/>
        </w:rPr>
        <w:t>3</w:t>
      </w:r>
      <w:r>
        <w:rPr>
          <w:rFonts w:hint="eastAsia" w:eastAsia="Times New Roman"/>
          <w:sz w:val="24"/>
          <w:szCs w:val="20"/>
          <w:lang w:val="en-US" w:eastAsia="zh-CN"/>
        </w:rPr>
        <w:t xml:space="preserve"> </w:t>
      </w:r>
      <w:r>
        <w:rPr>
          <w:rFonts w:hint="eastAsia"/>
          <w:sz w:val="24"/>
          <w:szCs w:val="20"/>
          <w:lang w:val="en-US" w:eastAsia="zh-CN"/>
        </w:rPr>
        <w:t xml:space="preserve"> </w:t>
      </w:r>
      <w:r>
        <w:rPr>
          <w:rFonts w:hint="eastAsia" w:eastAsia="Times New Roman"/>
          <w:sz w:val="24"/>
          <w:szCs w:val="20"/>
          <w:lang w:val="en-US" w:eastAsia="zh-CN"/>
        </w:rPr>
        <w:t>L3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For the measurement requirements for both intra-frequency and inter-frequency, the main factors to be impacted is the cell and SSB index detection since it depends on the PBCH detection directly. Hence, we shall also focus on this aspect also. Compared to legacy SSB with 20PRBs, the 12PRBs SSB can guarantee the transmission of PSS/SSS but part of PRBs of PBCH are punched. Thus, the new measurement requirements for less than 5MHz have been defined such as cell identification etc. We also can see the following agreements defined in less than 5MHz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highlight w:val="green"/>
                <w:lang w:eastAsia="zh-CN"/>
              </w:rPr>
            </w:pPr>
            <w:r>
              <w:rPr>
                <w:b/>
                <w:highlight w:val="green"/>
                <w:lang w:eastAsia="zh-CN"/>
              </w:rPr>
              <w:t>Agreement</w:t>
            </w:r>
            <w:r>
              <w:rPr>
                <w:highlight w:val="green"/>
                <w:lang w:eastAsia="zh-CN"/>
              </w:rPr>
              <w:t>:</w:t>
            </w:r>
          </w:p>
          <w:p>
            <w:pPr>
              <w:numPr>
                <w:ilvl w:val="0"/>
                <w:numId w:val="6"/>
              </w:numPr>
              <w:rPr>
                <w:lang w:val="en-US" w:eastAsia="ja-JP"/>
              </w:rPr>
            </w:pPr>
            <w:r>
              <w:rPr>
                <w:lang w:val="en-US" w:eastAsia="ja-JP"/>
              </w:rPr>
              <w:t>SSB index identification delay</w:t>
            </w:r>
          </w:p>
          <w:p>
            <w:pPr>
              <w:numPr>
                <w:ilvl w:val="1"/>
                <w:numId w:val="6"/>
              </w:numPr>
              <w:rPr>
                <w:lang w:val="en-US" w:eastAsia="ja-JP"/>
              </w:rPr>
            </w:pPr>
            <w:r>
              <w:rPr>
                <w:lang w:val="en-US" w:eastAsia="ja-JP"/>
              </w:rPr>
              <w:t>Unknown intra-frequency cell (Es/Iot≥-6 dB): [3+4] samples</w:t>
            </w:r>
          </w:p>
          <w:p>
            <w:pPr>
              <w:numPr>
                <w:ilvl w:val="1"/>
                <w:numId w:val="6"/>
              </w:numPr>
              <w:rPr>
                <w:rFonts w:hint="default" w:eastAsia="宋体"/>
                <w:sz w:val="22"/>
                <w:vertAlign w:val="baseline"/>
                <w:lang w:val="en-US" w:eastAsia="zh-CN"/>
              </w:rPr>
            </w:pPr>
            <w:r>
              <w:rPr>
                <w:lang w:val="en-US" w:eastAsia="ja-JP"/>
              </w:rPr>
              <w:t>Unknown inter-frequency cell (Es/Iot≥-4 dB): [3+3] samples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lang w:val="en-US" w:eastAsia="zh-CN"/>
        </w:rPr>
        <w:t xml:space="preserve">For unknown cell, we find that the measurement samples were increased based on 12PRBs SSB in order to  </w:t>
      </w:r>
      <w:r>
        <w:rPr>
          <w:rFonts w:hint="eastAsia" w:eastAsia="宋体"/>
          <w:sz w:val="22"/>
          <w:highlight w:val="none"/>
          <w:lang w:val="en-US" w:eastAsia="zh-CN"/>
        </w:rPr>
        <w:t>compensate the impact of puncturing for unknown cell searching, and the relevant requirements have been captured in the existing TS38.133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TN time index detection requirements:</w:t>
            </w:r>
          </w:p>
          <w:p>
            <w:pPr>
              <w:pStyle w:val="53"/>
            </w:pPr>
            <w:r>
              <w:t>Table 9.2.5.1-3: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p>
                  <w:pPr>
                    <w:pStyle w:val="58"/>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58"/>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58"/>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TN less than 5MHz time index detection requirements:</w:t>
            </w:r>
          </w:p>
          <w:p>
            <w:pPr>
              <w:pStyle w:val="53"/>
              <w:rPr>
                <w:rFonts w:eastAsia="宋体"/>
              </w:rPr>
            </w:pPr>
            <w:r>
              <w:rPr>
                <w:highlight w:val="none"/>
              </w:rPr>
              <w:t>Table 9.2.5.1-</w:t>
            </w:r>
            <w:r>
              <w:rPr>
                <w:highlight w:val="none"/>
                <w:lang w:val="en-US" w:eastAsia="zh-CN"/>
              </w:rPr>
              <w:t>23</w:t>
            </w:r>
            <w:r>
              <w:rPr>
                <w:rFonts w:eastAsia="宋体"/>
                <w:highlight w:val="none"/>
              </w:rPr>
              <w:t xml:space="preserve">: Time period for time index detection for a UE operating on a target cell with 12 PRB </w:t>
            </w:r>
            <w:r>
              <w:rPr>
                <w:rFonts w:eastAsia="宋体"/>
              </w:rPr>
              <w:t xml:space="preserve">SSB (Frequency range FR1)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yellow"/>
                    </w:rPr>
                    <w:t xml:space="preserve">7 </w:t>
                  </w:r>
                  <w:r>
                    <w:rPr>
                      <w:rFonts w:eastAsia="宋体"/>
                    </w:rPr>
                    <w:t>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max(120ms, ceil(1.5 x 7)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7 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宋体"/>
                    </w:rPr>
                  </w:pPr>
                  <w:r>
                    <w:t>NOTE 1:</w:t>
                  </w:r>
                  <w:r>
                    <w:tab/>
                  </w:r>
                  <w:r>
                    <w:t xml:space="preserve">FFS </w:t>
                  </w:r>
                  <w:r>
                    <w:rPr>
                      <w:rFonts w:hint="eastAsia"/>
                    </w:rPr>
                    <w:t>When</w:t>
                  </w:r>
                  <w:r>
                    <w:t xml:space="preserve"> </w:t>
                  </w:r>
                  <w:r>
                    <w:rPr>
                      <w:rFonts w:eastAsia="Malgun Gothic"/>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r>
              <w:rPr>
                <w:rFonts w:hint="eastAsia" w:eastAsia="宋体"/>
                <w:sz w:val="22"/>
                <w:highlight w:val="none"/>
                <w:vertAlign w:val="baseline"/>
                <w:lang w:val="en-US" w:eastAsia="zh-CN"/>
              </w:rPr>
              <w:t>Legacy NTN time index detection requirements:</w:t>
            </w:r>
          </w:p>
          <w:p>
            <w:pPr>
              <w:pStyle w:val="53"/>
            </w:pPr>
            <w:r>
              <w:t>Table 9.2C.5.1-2: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lang w:eastAsia="zh-CN"/>
                    </w:rPr>
                    <w:t>1.5</w:t>
                  </w:r>
                  <w:r>
                    <w:t xml:space="preserve">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Based on the table in above, we find that the time period for time index detection for NTN is different from legacy considering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(considering without measurement gap),K</w:t>
      </w:r>
      <w:r>
        <w:rPr>
          <w:rFonts w:hint="eastAsia" w:eastAsia="宋体"/>
          <w:sz w:val="22"/>
          <w:highlight w:val="none"/>
          <w:vertAlign w:val="subscript"/>
          <w:lang w:val="en-US" w:eastAsia="zh-CN"/>
        </w:rPr>
        <w:t>gap</w:t>
      </w:r>
      <w:r>
        <w:rPr>
          <w:rFonts w:hint="eastAsia" w:eastAsia="宋体"/>
          <w:sz w:val="22"/>
          <w:highlight w:val="none"/>
          <w:lang w:val="en-US" w:eastAsia="zh-CN"/>
        </w:rPr>
        <w:t xml:space="preserve"> (considering with measurement gap) , K</w:t>
      </w:r>
      <w:r>
        <w:rPr>
          <w:rFonts w:hint="eastAsia" w:eastAsia="宋体"/>
          <w:sz w:val="22"/>
          <w:highlight w:val="none"/>
          <w:vertAlign w:val="subscript"/>
          <w:lang w:val="en-US" w:eastAsia="zh-CN"/>
        </w:rPr>
        <w:t xml:space="preserve">multi_SMTC </w:t>
      </w:r>
      <w:r>
        <w:rPr>
          <w:rFonts w:hint="eastAsia" w:eastAsia="宋体"/>
          <w:sz w:val="22"/>
          <w:highlight w:val="none"/>
          <w:lang w:val="en-US" w:eastAsia="zh-CN"/>
        </w:rPr>
        <w:t xml:space="preserve">and </w:t>
      </w:r>
      <w:r>
        <w:rPr>
          <w:lang w:val="fr-FR"/>
        </w:rPr>
        <w:t>CSSF</w:t>
      </w:r>
      <w:r>
        <w:rPr>
          <w:rFonts w:eastAsia="宋体"/>
          <w:vertAlign w:val="subscript"/>
        </w:rPr>
        <w:t>intra_less_than_5Mhz</w:t>
      </w:r>
      <w:r>
        <w:rPr>
          <w:rFonts w:hint="eastAsia" w:eastAsia="宋体"/>
          <w:sz w:val="22"/>
          <w:highlight w:val="none"/>
          <w:lang w:val="en-US" w:eastAsia="zh-CN"/>
        </w:rPr>
        <w:t>. However, the number of samples is same. Hence, from my perspective, when considering defining the requirements for less than 5M in NTN scenario, RAN4 shall refer to time period defined in less than 5M with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 K</w:t>
      </w:r>
      <w:r>
        <w:rPr>
          <w:rFonts w:hint="eastAsia" w:eastAsia="宋体"/>
          <w:sz w:val="22"/>
          <w:highlight w:val="none"/>
          <w:vertAlign w:val="subscript"/>
          <w:lang w:val="en-US" w:eastAsia="zh-CN"/>
        </w:rPr>
        <w:t xml:space="preserve">multi_SMTC </w:t>
      </w:r>
      <w:r>
        <w:rPr>
          <w:rFonts w:hint="eastAsia" w:eastAsia="宋体"/>
          <w:sz w:val="22"/>
          <w:highlight w:val="none"/>
          <w:lang w:val="en-US" w:eastAsia="zh-CN"/>
        </w:rPr>
        <w:t>and K</w:t>
      </w:r>
      <w:r>
        <w:rPr>
          <w:rFonts w:hint="eastAsia" w:eastAsia="宋体"/>
          <w:sz w:val="22"/>
          <w:highlight w:val="none"/>
          <w:vertAlign w:val="subscript"/>
          <w:lang w:val="en-US" w:eastAsia="zh-CN"/>
        </w:rPr>
        <w:t>gap</w:t>
      </w:r>
      <w:r>
        <w:rPr>
          <w:rFonts w:hint="eastAsia" w:eastAsia="宋体"/>
          <w:sz w:val="22"/>
          <w:highlight w:val="none"/>
          <w:lang w:val="en-US" w:eastAsia="zh-CN"/>
        </w:rPr>
        <w:t xml:space="preserve">. </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r>
        <w:rPr>
          <w:rFonts w:hint="eastAsia" w:eastAsia="宋体"/>
          <w:lang w:val="en-US" w:eastAsia="zh-CN"/>
        </w:rPr>
        <w:t>for intra-frequency without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x 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r>
              <w:t>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r>
              <w:rPr>
                <w:rFonts w:hint="eastAsia" w:eastAsia="宋体"/>
                <w:lang w:val="en-US" w:eastAsia="zh-CN"/>
              </w:rPr>
              <w:t xml:space="preserve">NOTE 2:   </w:t>
            </w:r>
            <w:r>
              <w:t>If different SMTC periodicities are configured for different cells, the SMTC period in the requirement is the one used by the cell being identified</w:t>
            </w:r>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for intra-frequency with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 xml:space="preserve">max(120ms,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w:t>
            </w:r>
            <w:r>
              <w:rPr>
                <w:rFonts w:hint="eastAsia" w:eastAsia="宋体"/>
                <w:lang w:val="en-US" w:eastAsia="zh-CN"/>
              </w:rPr>
              <w:t xml:space="preserve"> </w:t>
            </w:r>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r>
              <w:rPr>
                <w:rFonts w:hint="eastAsia" w:eastAsia="宋体"/>
                <w:lang w:val="en-US" w:eastAsia="zh-CN"/>
              </w:rPr>
              <w:t xml:space="preserve"> </w:t>
            </w:r>
            <w:r>
              <w:t xml:space="preserve">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We just provide the time period for time index detection for intra-frequency without/with measurement gap. The same situation can be studied for inter-frequency measurement. RAN4 shall refer to the legacy less than 5MHz requirements and legacy NTN requirements when considering defining the new requirements.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highlight w:val="none"/>
          <w:vertAlign w:val="baseline"/>
          <w:lang w:val="en-US" w:eastAsia="zh-CN"/>
        </w:rPr>
      </w:pPr>
      <w:r>
        <w:rPr>
          <w:rFonts w:hint="eastAsia" w:eastAsia="宋体"/>
          <w:b/>
          <w:bCs/>
          <w:sz w:val="22"/>
          <w:highlight w:val="none"/>
          <w:lang w:val="en-US" w:eastAsia="zh-CN"/>
        </w:rPr>
        <w:t xml:space="preserve">Proposal 4: RAN4 shall define the related requirements for less than 5MHz in NTN scenario </w:t>
      </w:r>
      <w:r>
        <w:rPr>
          <w:rFonts w:hint="eastAsia" w:eastAsia="宋体"/>
          <w:b/>
          <w:bCs/>
          <w:sz w:val="22"/>
          <w:highlight w:val="none"/>
          <w:vertAlign w:val="baseline"/>
          <w:lang w:val="en-US" w:eastAsia="zh-CN"/>
        </w:rPr>
        <w:t>:</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r>
        <w:rPr>
          <w:rFonts w:hint="eastAsia" w:eastAsia="宋体"/>
          <w:lang w:val="en-US" w:eastAsia="zh-CN"/>
        </w:rPr>
        <w:t>for intra-frequency without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x 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r>
              <w:t>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r>
              <w:rPr>
                <w:rFonts w:hint="eastAsia" w:eastAsia="宋体"/>
                <w:lang w:val="en-US" w:eastAsia="zh-CN"/>
              </w:rPr>
              <w:t xml:space="preserve">NOTE 2:   </w:t>
            </w:r>
            <w:r>
              <w:t>If different SMTC periodicities are configured for different cells, the SMTC period in the requirement is the one used by the cell being identified</w:t>
            </w:r>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for intra-frequency with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 xml:space="preserve">max(120ms,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w:t>
            </w:r>
            <w:r>
              <w:rPr>
                <w:rFonts w:hint="eastAsia" w:eastAsia="宋体"/>
                <w:lang w:val="en-US" w:eastAsia="zh-CN"/>
              </w:rPr>
              <w:t xml:space="preserve"> </w:t>
            </w:r>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r>
              <w:rPr>
                <w:rFonts w:hint="eastAsia" w:eastAsia="宋体"/>
                <w:lang w:val="en-US" w:eastAsia="zh-CN"/>
              </w:rPr>
              <w:t xml:space="preserve"> </w:t>
            </w:r>
            <w:r>
              <w:t xml:space="preserve">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lang w:val="en-US" w:eastAsia="zh-CN"/>
        </w:rPr>
      </w:pPr>
      <w:r>
        <w:rPr>
          <w:rFonts w:hint="eastAsia" w:eastAsia="宋体"/>
          <w:b/>
          <w:bCs/>
          <w:sz w:val="22"/>
          <w:lang w:val="en-US" w:eastAsia="zh-CN"/>
        </w:rPr>
        <w:t>Observation 1: There is no RRM requirements for less than 5MHz in 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1: For RRC connection release with redirection, there is no RRM impacts on  3MHz in NTN scenario.</w:t>
      </w:r>
    </w:p>
    <w:p>
      <w:pPr>
        <w:jc w:val="both"/>
        <w:rPr>
          <w:rFonts w:hint="eastAsia"/>
          <w:b/>
          <w:bCs/>
          <w:vertAlign w:val="baseline"/>
          <w:lang w:val="en-US" w:eastAsia="zh-CN"/>
        </w:rPr>
      </w:pPr>
      <w:r>
        <w:rPr>
          <w:rFonts w:hint="eastAsia" w:eastAsia="宋体"/>
          <w:b/>
          <w:bCs/>
          <w:vertAlign w:val="baseline"/>
          <w:lang w:val="en-US" w:eastAsia="zh-CN"/>
        </w:rPr>
        <w:t xml:space="preserve">Observation 2: </w:t>
      </w:r>
      <w:r>
        <w:rPr>
          <w:rFonts w:hint="eastAsia"/>
          <w:b/>
          <w:bCs/>
          <w:vertAlign w:val="baseline"/>
          <w:lang w:val="en-US" w:eastAsia="zh-CN"/>
        </w:rPr>
        <w:t>T</w:t>
      </w:r>
      <w:r>
        <w:rPr>
          <w:rFonts w:hint="eastAsia"/>
          <w:b/>
          <w:bCs/>
          <w:vertAlign w:val="subscript"/>
          <w:lang w:val="en-US" w:eastAsia="zh-CN"/>
        </w:rPr>
        <w:t>measure</w:t>
      </w:r>
      <w:r>
        <w:rPr>
          <w:rFonts w:hint="eastAsia"/>
          <w:b/>
          <w:bCs/>
          <w:vertAlign w:val="baseline"/>
          <w:lang w:val="en-US" w:eastAsia="zh-CN"/>
        </w:rPr>
        <w:t xml:space="preserve"> and T</w:t>
      </w:r>
      <w:r>
        <w:rPr>
          <w:rFonts w:hint="eastAsia"/>
          <w:b/>
          <w:bCs/>
          <w:vertAlign w:val="subscript"/>
          <w:lang w:val="en-US" w:eastAsia="zh-CN"/>
        </w:rPr>
        <w:t>interrupt</w:t>
      </w:r>
      <w:r>
        <w:rPr>
          <w:rFonts w:hint="eastAsia"/>
          <w:b/>
          <w:bCs/>
          <w:vertAlign w:val="baseline"/>
          <w:lang w:val="en-US" w:eastAsia="zh-CN"/>
        </w:rPr>
        <w:t xml:space="preserve"> will be impacted since they depend on PBCH detection.</w:t>
      </w:r>
    </w:p>
    <w:p>
      <w:pPr>
        <w:jc w:val="both"/>
        <w:rPr>
          <w:rFonts w:hint="eastAsia" w:eastAsia="宋体"/>
          <w:b/>
          <w:bCs/>
          <w:vertAlign w:val="baseline"/>
          <w:lang w:val="en-US" w:eastAsia="zh-CN"/>
        </w:rPr>
      </w:pPr>
      <w:r>
        <w:rPr>
          <w:rFonts w:hint="eastAsia" w:eastAsia="宋体"/>
          <w:b/>
          <w:bCs/>
          <w:vertAlign w:val="baseline"/>
          <w:lang w:val="en-US" w:eastAsia="zh-CN"/>
        </w:rPr>
        <w:t>Proposal 2: Whether the T</w:t>
      </w:r>
      <w:r>
        <w:rPr>
          <w:rFonts w:hint="eastAsia" w:eastAsia="宋体"/>
          <w:b/>
          <w:bCs/>
          <w:vertAlign w:val="subscript"/>
          <w:lang w:val="en-US" w:eastAsia="zh-CN"/>
        </w:rPr>
        <w:t>measure</w:t>
      </w:r>
      <w:r>
        <w:rPr>
          <w:rFonts w:hint="eastAsia" w:eastAsia="宋体"/>
          <w:b/>
          <w:bCs/>
          <w:vertAlign w:val="baseline"/>
          <w:lang w:val="en-US" w:eastAsia="zh-CN"/>
        </w:rPr>
        <w:t xml:space="preserve"> in conditional handover with L3 measurement shall be enhanced or not shall depend on whether RAN4 defines new L3 measurement requirements.</w:t>
      </w:r>
    </w:p>
    <w:p>
      <w:pPr>
        <w:jc w:val="both"/>
        <w:rPr>
          <w:rFonts w:hint="default" w:eastAsia="宋体"/>
          <w:b/>
          <w:bCs/>
          <w:vertAlign w:val="baseline"/>
          <w:lang w:val="en-US" w:eastAsia="zh-CN"/>
        </w:rPr>
      </w:pPr>
      <w:r>
        <w:rPr>
          <w:rFonts w:hint="eastAsia" w:eastAsia="宋体"/>
          <w:b/>
          <w:bCs/>
          <w:vertAlign w:val="baseline"/>
          <w:lang w:val="en-US" w:eastAsia="zh-CN"/>
        </w:rPr>
        <w:t>Proposal 3: TΔ shall be extended to 3*T</w:t>
      </w:r>
      <w:r>
        <w:rPr>
          <w:rFonts w:hint="eastAsia" w:eastAsia="宋体"/>
          <w:b/>
          <w:bCs/>
          <w:vertAlign w:val="subscript"/>
          <w:lang w:val="en-US" w:eastAsia="zh-CN"/>
        </w:rPr>
        <w:t>rs</w:t>
      </w:r>
      <w:r>
        <w:rPr>
          <w:rFonts w:hint="eastAsia" w:eastAsia="宋体"/>
          <w:b/>
          <w:bCs/>
          <w:vertAlign w:val="baseli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highlight w:val="none"/>
          <w:vertAlign w:val="baseline"/>
          <w:lang w:val="en-US" w:eastAsia="zh-CN"/>
        </w:rPr>
      </w:pPr>
      <w:r>
        <w:rPr>
          <w:rFonts w:hint="eastAsia" w:eastAsia="宋体"/>
          <w:b/>
          <w:bCs/>
          <w:sz w:val="22"/>
          <w:highlight w:val="none"/>
          <w:lang w:val="en-US" w:eastAsia="zh-CN"/>
        </w:rPr>
        <w:t xml:space="preserve">Proposal 4: RAN4 shall define the related requirements for less than 5MHz in NTN scenario </w:t>
      </w:r>
      <w:r>
        <w:rPr>
          <w:rFonts w:hint="eastAsia" w:eastAsia="宋体"/>
          <w:b/>
          <w:bCs/>
          <w:sz w:val="22"/>
          <w:highlight w:val="none"/>
          <w:vertAlign w:val="baseline"/>
          <w:lang w:val="en-US" w:eastAsia="zh-CN"/>
        </w:rPr>
        <w:t>:</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r>
        <w:rPr>
          <w:rFonts w:hint="eastAsia" w:eastAsia="宋体"/>
          <w:lang w:val="en-US" w:eastAsia="zh-CN"/>
        </w:rPr>
        <w:t>for intra-frequency without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x 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r>
              <w:t>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r>
              <w:rPr>
                <w:rFonts w:hint="eastAsia" w:eastAsia="宋体"/>
                <w:lang w:val="en-US" w:eastAsia="zh-CN"/>
              </w:rPr>
              <w:t xml:space="preserve">NOTE 2:   </w:t>
            </w:r>
            <w:r>
              <w:t>If different SMTC periodicities are configured for different cells, the SMTC period in the requirement is the one used by the cell being identified</w:t>
            </w:r>
          </w:p>
        </w:tc>
      </w:tr>
    </w:tbl>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for intra-frequency with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 xml:space="preserve">max(120ms,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w:t>
            </w:r>
            <w:r>
              <w:rPr>
                <w:rFonts w:hint="eastAsia" w:eastAsia="宋体"/>
                <w:lang w:val="en-US" w:eastAsia="zh-CN"/>
              </w:rPr>
              <w:t xml:space="preserve"> </w:t>
            </w:r>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r>
              <w:rPr>
                <w:rFonts w:hint="eastAsia" w:eastAsia="宋体"/>
                <w:lang w:val="en-US" w:eastAsia="zh-CN"/>
              </w:rPr>
              <w:t xml:space="preserve"> </w:t>
            </w:r>
            <w:r>
              <w:t xml:space="preserve">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spacing w:before="120" w:after="120"/>
        <w:rPr>
          <w:rFonts w:eastAsia="宋体"/>
          <w:lang w:eastAsia="zh-CN"/>
        </w:rPr>
      </w:pP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305F7"/>
    <w:multiLevelType w:val="singleLevel"/>
    <w:tmpl w:val="9AF305F7"/>
    <w:lvl w:ilvl="0" w:tentative="0">
      <w:start w:val="1"/>
      <w:numFmt w:val="bullet"/>
      <w:lvlText w:val=""/>
      <w:lvlJc w:val="left"/>
      <w:pPr>
        <w:ind w:left="420" w:hanging="420"/>
      </w:pPr>
      <w:rPr>
        <w:rFonts w:hint="default" w:ascii="Wingdings" w:hAnsi="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4"/>
  </w:num>
  <w:num w:numId="3">
    <w:abstractNumId w:val="2"/>
  </w:num>
  <w:num w:numId="4">
    <w:abstractNumId w:val="0"/>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50C7718"/>
    <w:rsid w:val="0510745B"/>
    <w:rsid w:val="05214F03"/>
    <w:rsid w:val="052F7D10"/>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D0D66"/>
    <w:rsid w:val="062C2061"/>
    <w:rsid w:val="062D43AF"/>
    <w:rsid w:val="06311BAC"/>
    <w:rsid w:val="067C67DB"/>
    <w:rsid w:val="067F65D2"/>
    <w:rsid w:val="068158A4"/>
    <w:rsid w:val="06A05FC0"/>
    <w:rsid w:val="06AE1485"/>
    <w:rsid w:val="06E54956"/>
    <w:rsid w:val="07007517"/>
    <w:rsid w:val="07073FA3"/>
    <w:rsid w:val="070F1174"/>
    <w:rsid w:val="072F7FC6"/>
    <w:rsid w:val="0732584E"/>
    <w:rsid w:val="074109F4"/>
    <w:rsid w:val="07583E9D"/>
    <w:rsid w:val="075A7EF6"/>
    <w:rsid w:val="076202A2"/>
    <w:rsid w:val="076A2A73"/>
    <w:rsid w:val="078759D7"/>
    <w:rsid w:val="07AE506C"/>
    <w:rsid w:val="07C05808"/>
    <w:rsid w:val="07C22AAD"/>
    <w:rsid w:val="07C3764D"/>
    <w:rsid w:val="07C644D1"/>
    <w:rsid w:val="07F66AC5"/>
    <w:rsid w:val="07FA2981"/>
    <w:rsid w:val="081F651B"/>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9C4684"/>
    <w:rsid w:val="09BB6580"/>
    <w:rsid w:val="09E30E5D"/>
    <w:rsid w:val="09F25D5F"/>
    <w:rsid w:val="0A1131EF"/>
    <w:rsid w:val="0A141797"/>
    <w:rsid w:val="0A143BE1"/>
    <w:rsid w:val="0A220AAD"/>
    <w:rsid w:val="0A263E9C"/>
    <w:rsid w:val="0A286DFB"/>
    <w:rsid w:val="0A5002F7"/>
    <w:rsid w:val="0A5164D1"/>
    <w:rsid w:val="0A6C43DE"/>
    <w:rsid w:val="0ABC02E8"/>
    <w:rsid w:val="0AC16484"/>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927AF3"/>
    <w:rsid w:val="0B997D22"/>
    <w:rsid w:val="0BA069F6"/>
    <w:rsid w:val="0BB6397D"/>
    <w:rsid w:val="0BC97B63"/>
    <w:rsid w:val="0BD644F2"/>
    <w:rsid w:val="0BE05B3D"/>
    <w:rsid w:val="0BEB139D"/>
    <w:rsid w:val="0BEF4F2C"/>
    <w:rsid w:val="0BF03462"/>
    <w:rsid w:val="0BF56721"/>
    <w:rsid w:val="0C1E2E71"/>
    <w:rsid w:val="0C2D4BD9"/>
    <w:rsid w:val="0C5161F8"/>
    <w:rsid w:val="0C52360D"/>
    <w:rsid w:val="0C6B5BA9"/>
    <w:rsid w:val="0C6E60F3"/>
    <w:rsid w:val="0C7C1976"/>
    <w:rsid w:val="0C830617"/>
    <w:rsid w:val="0CAC6DE2"/>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2550AA"/>
    <w:rsid w:val="0F2B36C0"/>
    <w:rsid w:val="0F3A116B"/>
    <w:rsid w:val="0F4942A2"/>
    <w:rsid w:val="0F4A66BD"/>
    <w:rsid w:val="0F511411"/>
    <w:rsid w:val="0F703346"/>
    <w:rsid w:val="0F80004E"/>
    <w:rsid w:val="0F871EAB"/>
    <w:rsid w:val="0F9D3FD2"/>
    <w:rsid w:val="0F9F1528"/>
    <w:rsid w:val="0FDF5A14"/>
    <w:rsid w:val="0FFF3FF2"/>
    <w:rsid w:val="1008703A"/>
    <w:rsid w:val="10126FBC"/>
    <w:rsid w:val="103809FF"/>
    <w:rsid w:val="10764104"/>
    <w:rsid w:val="108A5F33"/>
    <w:rsid w:val="108F6F5D"/>
    <w:rsid w:val="1096068D"/>
    <w:rsid w:val="109F23E5"/>
    <w:rsid w:val="10B951CF"/>
    <w:rsid w:val="10BB3068"/>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DA456B"/>
    <w:rsid w:val="11E411C4"/>
    <w:rsid w:val="11EE75FC"/>
    <w:rsid w:val="11FA2349"/>
    <w:rsid w:val="12044AB3"/>
    <w:rsid w:val="120C7685"/>
    <w:rsid w:val="121015B2"/>
    <w:rsid w:val="12342A01"/>
    <w:rsid w:val="12371472"/>
    <w:rsid w:val="12533BE9"/>
    <w:rsid w:val="12563736"/>
    <w:rsid w:val="126548EE"/>
    <w:rsid w:val="12817181"/>
    <w:rsid w:val="129E41E5"/>
    <w:rsid w:val="12AA4BE9"/>
    <w:rsid w:val="12B1333A"/>
    <w:rsid w:val="12C003F7"/>
    <w:rsid w:val="12C7679B"/>
    <w:rsid w:val="12DD774D"/>
    <w:rsid w:val="12E20B88"/>
    <w:rsid w:val="130D494D"/>
    <w:rsid w:val="13202B24"/>
    <w:rsid w:val="133E4EC4"/>
    <w:rsid w:val="135702FC"/>
    <w:rsid w:val="13581549"/>
    <w:rsid w:val="136404F3"/>
    <w:rsid w:val="137E2663"/>
    <w:rsid w:val="13B61E8E"/>
    <w:rsid w:val="13C23A1B"/>
    <w:rsid w:val="13C76244"/>
    <w:rsid w:val="13CF28FB"/>
    <w:rsid w:val="13DA7C15"/>
    <w:rsid w:val="13EA5E5F"/>
    <w:rsid w:val="140329A8"/>
    <w:rsid w:val="14107AE9"/>
    <w:rsid w:val="14157DFD"/>
    <w:rsid w:val="14175E0A"/>
    <w:rsid w:val="141F1BA5"/>
    <w:rsid w:val="142A2204"/>
    <w:rsid w:val="144E7AE0"/>
    <w:rsid w:val="1452019E"/>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6508EF"/>
    <w:rsid w:val="15693006"/>
    <w:rsid w:val="15716A99"/>
    <w:rsid w:val="157177C3"/>
    <w:rsid w:val="15755788"/>
    <w:rsid w:val="157F2CB1"/>
    <w:rsid w:val="1581047E"/>
    <w:rsid w:val="15895642"/>
    <w:rsid w:val="15A444EB"/>
    <w:rsid w:val="15A75916"/>
    <w:rsid w:val="15B0540D"/>
    <w:rsid w:val="15B7532E"/>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82D3E"/>
    <w:rsid w:val="167046E9"/>
    <w:rsid w:val="167E382D"/>
    <w:rsid w:val="16B64EC9"/>
    <w:rsid w:val="16C8771D"/>
    <w:rsid w:val="16DC0535"/>
    <w:rsid w:val="16FA20DA"/>
    <w:rsid w:val="17060D55"/>
    <w:rsid w:val="170716B6"/>
    <w:rsid w:val="170F5DE2"/>
    <w:rsid w:val="17203431"/>
    <w:rsid w:val="172C56B5"/>
    <w:rsid w:val="1748083E"/>
    <w:rsid w:val="17553F9F"/>
    <w:rsid w:val="175623CE"/>
    <w:rsid w:val="175E2809"/>
    <w:rsid w:val="176538DA"/>
    <w:rsid w:val="17787D90"/>
    <w:rsid w:val="1794775D"/>
    <w:rsid w:val="17B11330"/>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870C54"/>
    <w:rsid w:val="189D2207"/>
    <w:rsid w:val="18A45C40"/>
    <w:rsid w:val="18D57338"/>
    <w:rsid w:val="18E96032"/>
    <w:rsid w:val="18EE62E8"/>
    <w:rsid w:val="18F96461"/>
    <w:rsid w:val="19094BBF"/>
    <w:rsid w:val="19116F8E"/>
    <w:rsid w:val="194E6691"/>
    <w:rsid w:val="19551A74"/>
    <w:rsid w:val="195942F0"/>
    <w:rsid w:val="195F7D63"/>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342071"/>
    <w:rsid w:val="1A5163D6"/>
    <w:rsid w:val="1A54768F"/>
    <w:rsid w:val="1A5A669E"/>
    <w:rsid w:val="1A796C32"/>
    <w:rsid w:val="1A9B6333"/>
    <w:rsid w:val="1AA11028"/>
    <w:rsid w:val="1AB623A5"/>
    <w:rsid w:val="1AB9028C"/>
    <w:rsid w:val="1AB91166"/>
    <w:rsid w:val="1ABD699B"/>
    <w:rsid w:val="1AC56317"/>
    <w:rsid w:val="1AD6319E"/>
    <w:rsid w:val="1AE47B80"/>
    <w:rsid w:val="1B4B651F"/>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54E9B"/>
    <w:rsid w:val="1CBB1BB0"/>
    <w:rsid w:val="1CBC5611"/>
    <w:rsid w:val="1CCB7770"/>
    <w:rsid w:val="1CD22EF6"/>
    <w:rsid w:val="1CD7177C"/>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51952"/>
    <w:rsid w:val="1E5F1F97"/>
    <w:rsid w:val="1E6C5F4E"/>
    <w:rsid w:val="1E755015"/>
    <w:rsid w:val="1EA65561"/>
    <w:rsid w:val="1EAD4127"/>
    <w:rsid w:val="1EB70BD9"/>
    <w:rsid w:val="1EB8797A"/>
    <w:rsid w:val="1EEC719E"/>
    <w:rsid w:val="1EEE2F09"/>
    <w:rsid w:val="1EF7018A"/>
    <w:rsid w:val="1F0242AA"/>
    <w:rsid w:val="1F044236"/>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84BED"/>
    <w:rsid w:val="207F7CDD"/>
    <w:rsid w:val="20A4578F"/>
    <w:rsid w:val="20BC55C4"/>
    <w:rsid w:val="20D40A6C"/>
    <w:rsid w:val="20D60AAE"/>
    <w:rsid w:val="21061BA2"/>
    <w:rsid w:val="2121427E"/>
    <w:rsid w:val="21262CBA"/>
    <w:rsid w:val="212B1C97"/>
    <w:rsid w:val="21361FB5"/>
    <w:rsid w:val="214B3D89"/>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935B5"/>
    <w:rsid w:val="22923DE9"/>
    <w:rsid w:val="22973417"/>
    <w:rsid w:val="229D5794"/>
    <w:rsid w:val="22AD1241"/>
    <w:rsid w:val="22BE600E"/>
    <w:rsid w:val="22C17DB5"/>
    <w:rsid w:val="22C32593"/>
    <w:rsid w:val="22C629AC"/>
    <w:rsid w:val="22D6244E"/>
    <w:rsid w:val="22DD27AA"/>
    <w:rsid w:val="22E96F92"/>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232DE5"/>
    <w:rsid w:val="244A408C"/>
    <w:rsid w:val="245A6743"/>
    <w:rsid w:val="246A08B9"/>
    <w:rsid w:val="24754B15"/>
    <w:rsid w:val="247F64CC"/>
    <w:rsid w:val="248D420D"/>
    <w:rsid w:val="24921B27"/>
    <w:rsid w:val="24A0121D"/>
    <w:rsid w:val="24B0652D"/>
    <w:rsid w:val="24B97631"/>
    <w:rsid w:val="24C90419"/>
    <w:rsid w:val="24D24D56"/>
    <w:rsid w:val="24E32289"/>
    <w:rsid w:val="24ED1C1E"/>
    <w:rsid w:val="24F0284D"/>
    <w:rsid w:val="24F039A5"/>
    <w:rsid w:val="250E20E4"/>
    <w:rsid w:val="25202C91"/>
    <w:rsid w:val="252331A5"/>
    <w:rsid w:val="252733A0"/>
    <w:rsid w:val="253B3A36"/>
    <w:rsid w:val="25425A19"/>
    <w:rsid w:val="25490B3E"/>
    <w:rsid w:val="256E6C47"/>
    <w:rsid w:val="256F1A53"/>
    <w:rsid w:val="258B2F2B"/>
    <w:rsid w:val="258B31A0"/>
    <w:rsid w:val="25AB3D1C"/>
    <w:rsid w:val="25CB7FC0"/>
    <w:rsid w:val="25D90A1B"/>
    <w:rsid w:val="25DC0129"/>
    <w:rsid w:val="25DF10AE"/>
    <w:rsid w:val="25E22192"/>
    <w:rsid w:val="25F332FF"/>
    <w:rsid w:val="25FE37D6"/>
    <w:rsid w:val="26274BB6"/>
    <w:rsid w:val="26356536"/>
    <w:rsid w:val="264B61DF"/>
    <w:rsid w:val="266853CB"/>
    <w:rsid w:val="268B243A"/>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B2F1B"/>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B19F4"/>
    <w:rsid w:val="28BD3A65"/>
    <w:rsid w:val="28BD5FE3"/>
    <w:rsid w:val="28D71E0B"/>
    <w:rsid w:val="28DC39BE"/>
    <w:rsid w:val="28DD5BCB"/>
    <w:rsid w:val="28E01F8A"/>
    <w:rsid w:val="28F045AC"/>
    <w:rsid w:val="291B318A"/>
    <w:rsid w:val="291D583E"/>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A7BC7"/>
    <w:rsid w:val="2A1E01A9"/>
    <w:rsid w:val="2A2D73EC"/>
    <w:rsid w:val="2A2E4CEB"/>
    <w:rsid w:val="2A3B565F"/>
    <w:rsid w:val="2A4A3088"/>
    <w:rsid w:val="2A5D0C96"/>
    <w:rsid w:val="2A653259"/>
    <w:rsid w:val="2A8F4841"/>
    <w:rsid w:val="2AA270FE"/>
    <w:rsid w:val="2AA369DD"/>
    <w:rsid w:val="2AD06022"/>
    <w:rsid w:val="2AD63975"/>
    <w:rsid w:val="2ADD1B0D"/>
    <w:rsid w:val="2AEC47FC"/>
    <w:rsid w:val="2AF1331E"/>
    <w:rsid w:val="2AF81BE3"/>
    <w:rsid w:val="2AFF23A5"/>
    <w:rsid w:val="2B176F87"/>
    <w:rsid w:val="2B361003"/>
    <w:rsid w:val="2B3762A6"/>
    <w:rsid w:val="2B3C6641"/>
    <w:rsid w:val="2B4A27A4"/>
    <w:rsid w:val="2B5B0F6E"/>
    <w:rsid w:val="2B925FDF"/>
    <w:rsid w:val="2B9970F1"/>
    <w:rsid w:val="2BB74A47"/>
    <w:rsid w:val="2BE501C7"/>
    <w:rsid w:val="2BED2E55"/>
    <w:rsid w:val="2C1738CF"/>
    <w:rsid w:val="2C1945D8"/>
    <w:rsid w:val="2C4E7E38"/>
    <w:rsid w:val="2C6C7918"/>
    <w:rsid w:val="2C783906"/>
    <w:rsid w:val="2C9E472D"/>
    <w:rsid w:val="2CB5787B"/>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F78FF"/>
    <w:rsid w:val="2DD93F77"/>
    <w:rsid w:val="2DDC694B"/>
    <w:rsid w:val="2DDE7A41"/>
    <w:rsid w:val="2DEF20F0"/>
    <w:rsid w:val="2E041306"/>
    <w:rsid w:val="2E06778F"/>
    <w:rsid w:val="2E106E4C"/>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C4BFB"/>
    <w:rsid w:val="2F471420"/>
    <w:rsid w:val="2F626907"/>
    <w:rsid w:val="2F6B4720"/>
    <w:rsid w:val="2F956224"/>
    <w:rsid w:val="2FA23A7C"/>
    <w:rsid w:val="2FA3052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C01078"/>
    <w:rsid w:val="30CF0FD9"/>
    <w:rsid w:val="30CF5A24"/>
    <w:rsid w:val="30E42C41"/>
    <w:rsid w:val="30F34FAE"/>
    <w:rsid w:val="3133127A"/>
    <w:rsid w:val="31353CD7"/>
    <w:rsid w:val="313E620E"/>
    <w:rsid w:val="313E6CDE"/>
    <w:rsid w:val="313F3759"/>
    <w:rsid w:val="31727F68"/>
    <w:rsid w:val="317662E9"/>
    <w:rsid w:val="31954796"/>
    <w:rsid w:val="31962DAE"/>
    <w:rsid w:val="319F0073"/>
    <w:rsid w:val="31B9498A"/>
    <w:rsid w:val="31CB6BC1"/>
    <w:rsid w:val="31CE7B45"/>
    <w:rsid w:val="31DD48DC"/>
    <w:rsid w:val="31E60453"/>
    <w:rsid w:val="32044DED"/>
    <w:rsid w:val="320C562E"/>
    <w:rsid w:val="3215767E"/>
    <w:rsid w:val="323F70E3"/>
    <w:rsid w:val="324B22D2"/>
    <w:rsid w:val="32575E9A"/>
    <w:rsid w:val="325C3AF5"/>
    <w:rsid w:val="3262622A"/>
    <w:rsid w:val="327A0FE8"/>
    <w:rsid w:val="329F684F"/>
    <w:rsid w:val="32B26B6D"/>
    <w:rsid w:val="32C92CF9"/>
    <w:rsid w:val="32CC0FF0"/>
    <w:rsid w:val="32DF7982"/>
    <w:rsid w:val="32F96ACA"/>
    <w:rsid w:val="330258B3"/>
    <w:rsid w:val="33054642"/>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C72C49"/>
    <w:rsid w:val="35F73AA1"/>
    <w:rsid w:val="35F853BB"/>
    <w:rsid w:val="35FB1676"/>
    <w:rsid w:val="361526DE"/>
    <w:rsid w:val="36225127"/>
    <w:rsid w:val="36237E20"/>
    <w:rsid w:val="362551E1"/>
    <w:rsid w:val="36286678"/>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A04E93"/>
    <w:rsid w:val="37D22ED3"/>
    <w:rsid w:val="37EA0A17"/>
    <w:rsid w:val="380A7603"/>
    <w:rsid w:val="380B0BB2"/>
    <w:rsid w:val="380D32F1"/>
    <w:rsid w:val="380D5D0D"/>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C76FD5"/>
    <w:rsid w:val="3ACE1617"/>
    <w:rsid w:val="3AD31906"/>
    <w:rsid w:val="3AD8364A"/>
    <w:rsid w:val="3AD969F8"/>
    <w:rsid w:val="3AFD1BC4"/>
    <w:rsid w:val="3B011CBF"/>
    <w:rsid w:val="3B47510C"/>
    <w:rsid w:val="3B4C622A"/>
    <w:rsid w:val="3B634927"/>
    <w:rsid w:val="3B7F36AC"/>
    <w:rsid w:val="3B822235"/>
    <w:rsid w:val="3B861D2E"/>
    <w:rsid w:val="3B937808"/>
    <w:rsid w:val="3BC25680"/>
    <w:rsid w:val="3BD653F5"/>
    <w:rsid w:val="3BE16ECF"/>
    <w:rsid w:val="3BED0FCA"/>
    <w:rsid w:val="3C211965"/>
    <w:rsid w:val="3C226C56"/>
    <w:rsid w:val="3C4B0ED5"/>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932B8"/>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F0C4369"/>
    <w:rsid w:val="3F2F53AA"/>
    <w:rsid w:val="3F493F5C"/>
    <w:rsid w:val="3F536673"/>
    <w:rsid w:val="3F5A79F3"/>
    <w:rsid w:val="3F5D2E4D"/>
    <w:rsid w:val="3F5F1F5C"/>
    <w:rsid w:val="3F6A5EE0"/>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AA46A6"/>
    <w:rsid w:val="40B6211F"/>
    <w:rsid w:val="40C2573C"/>
    <w:rsid w:val="40D01BF9"/>
    <w:rsid w:val="40D34024"/>
    <w:rsid w:val="40D43BA0"/>
    <w:rsid w:val="40E241CE"/>
    <w:rsid w:val="40EA78D7"/>
    <w:rsid w:val="40EC35D0"/>
    <w:rsid w:val="40EC510F"/>
    <w:rsid w:val="40EF5D43"/>
    <w:rsid w:val="412912D7"/>
    <w:rsid w:val="41366B89"/>
    <w:rsid w:val="41643D6B"/>
    <w:rsid w:val="41771599"/>
    <w:rsid w:val="418E52EE"/>
    <w:rsid w:val="41A04E11"/>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D64E6"/>
    <w:rsid w:val="443B3A4C"/>
    <w:rsid w:val="444B0AC4"/>
    <w:rsid w:val="444C64B0"/>
    <w:rsid w:val="444D54BA"/>
    <w:rsid w:val="44742FDB"/>
    <w:rsid w:val="447636BF"/>
    <w:rsid w:val="44951997"/>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F46C1C"/>
    <w:rsid w:val="48072039"/>
    <w:rsid w:val="480B19F6"/>
    <w:rsid w:val="480E7E09"/>
    <w:rsid w:val="481D675B"/>
    <w:rsid w:val="482109E5"/>
    <w:rsid w:val="48212AE9"/>
    <w:rsid w:val="48281A14"/>
    <w:rsid w:val="484D05AF"/>
    <w:rsid w:val="48580B3F"/>
    <w:rsid w:val="486C4CE7"/>
    <w:rsid w:val="487216E8"/>
    <w:rsid w:val="488536D4"/>
    <w:rsid w:val="489713C3"/>
    <w:rsid w:val="48A262B1"/>
    <w:rsid w:val="48A61EC2"/>
    <w:rsid w:val="48BA3284"/>
    <w:rsid w:val="48CB1CC0"/>
    <w:rsid w:val="48E66D59"/>
    <w:rsid w:val="49013C23"/>
    <w:rsid w:val="490A52ED"/>
    <w:rsid w:val="490C3583"/>
    <w:rsid w:val="49163580"/>
    <w:rsid w:val="491E6E1E"/>
    <w:rsid w:val="491F7F64"/>
    <w:rsid w:val="492A1BD4"/>
    <w:rsid w:val="49582843"/>
    <w:rsid w:val="49733467"/>
    <w:rsid w:val="49A418F2"/>
    <w:rsid w:val="49AD5BED"/>
    <w:rsid w:val="49BE170B"/>
    <w:rsid w:val="49C8100A"/>
    <w:rsid w:val="49FD4166"/>
    <w:rsid w:val="49FF2037"/>
    <w:rsid w:val="4A0A7F62"/>
    <w:rsid w:val="4A1D00AC"/>
    <w:rsid w:val="4A270A04"/>
    <w:rsid w:val="4A36625B"/>
    <w:rsid w:val="4A414188"/>
    <w:rsid w:val="4A47591B"/>
    <w:rsid w:val="4A4C4C82"/>
    <w:rsid w:val="4A6F608D"/>
    <w:rsid w:val="4A767F31"/>
    <w:rsid w:val="4A885CE1"/>
    <w:rsid w:val="4A9452E5"/>
    <w:rsid w:val="4A9F2D3A"/>
    <w:rsid w:val="4ABA66FB"/>
    <w:rsid w:val="4ABE4F66"/>
    <w:rsid w:val="4ABF0894"/>
    <w:rsid w:val="4ACC37A5"/>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B31E0A"/>
    <w:rsid w:val="4BC60804"/>
    <w:rsid w:val="4BC74E08"/>
    <w:rsid w:val="4BCF4885"/>
    <w:rsid w:val="4BD07997"/>
    <w:rsid w:val="4BDF3E16"/>
    <w:rsid w:val="4BF722AF"/>
    <w:rsid w:val="4C1003D8"/>
    <w:rsid w:val="4C1705E5"/>
    <w:rsid w:val="4C203473"/>
    <w:rsid w:val="4C2F2351"/>
    <w:rsid w:val="4C352DA8"/>
    <w:rsid w:val="4C366477"/>
    <w:rsid w:val="4C376F62"/>
    <w:rsid w:val="4C381F65"/>
    <w:rsid w:val="4C6E6BF7"/>
    <w:rsid w:val="4C6F66E5"/>
    <w:rsid w:val="4C786851"/>
    <w:rsid w:val="4C942881"/>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F521AC"/>
    <w:rsid w:val="4E0A2800"/>
    <w:rsid w:val="4E0D58C8"/>
    <w:rsid w:val="4E154828"/>
    <w:rsid w:val="4E222649"/>
    <w:rsid w:val="4E244D2D"/>
    <w:rsid w:val="4E5079C5"/>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45D86"/>
    <w:rsid w:val="4F896D46"/>
    <w:rsid w:val="4F974D24"/>
    <w:rsid w:val="4FA14EEC"/>
    <w:rsid w:val="4FA84227"/>
    <w:rsid w:val="4FC231DA"/>
    <w:rsid w:val="4FE223EE"/>
    <w:rsid w:val="4FE3097A"/>
    <w:rsid w:val="4FFD3A77"/>
    <w:rsid w:val="501F59A7"/>
    <w:rsid w:val="503642D7"/>
    <w:rsid w:val="503D3F59"/>
    <w:rsid w:val="504C7CCA"/>
    <w:rsid w:val="50650862"/>
    <w:rsid w:val="50681179"/>
    <w:rsid w:val="50812723"/>
    <w:rsid w:val="50864F3F"/>
    <w:rsid w:val="5091713A"/>
    <w:rsid w:val="5095674A"/>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F3F83"/>
    <w:rsid w:val="53703E8D"/>
    <w:rsid w:val="53707DDE"/>
    <w:rsid w:val="537E0058"/>
    <w:rsid w:val="53943296"/>
    <w:rsid w:val="53950AA6"/>
    <w:rsid w:val="53B2385F"/>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87FBD"/>
    <w:rsid w:val="55B41C64"/>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94301"/>
    <w:rsid w:val="5ACF40CD"/>
    <w:rsid w:val="5AE67733"/>
    <w:rsid w:val="5AFD3B96"/>
    <w:rsid w:val="5B0C640C"/>
    <w:rsid w:val="5B170C5D"/>
    <w:rsid w:val="5B2D305D"/>
    <w:rsid w:val="5B443E9C"/>
    <w:rsid w:val="5B4C1057"/>
    <w:rsid w:val="5B53327E"/>
    <w:rsid w:val="5B707739"/>
    <w:rsid w:val="5B7D7957"/>
    <w:rsid w:val="5B830BC2"/>
    <w:rsid w:val="5B956906"/>
    <w:rsid w:val="5B987E52"/>
    <w:rsid w:val="5BAB48F4"/>
    <w:rsid w:val="5BCE4EA4"/>
    <w:rsid w:val="5BD209C4"/>
    <w:rsid w:val="5BD637EC"/>
    <w:rsid w:val="5BDE5A43"/>
    <w:rsid w:val="5BE0323A"/>
    <w:rsid w:val="5BE80ED6"/>
    <w:rsid w:val="5C1A362B"/>
    <w:rsid w:val="5C1B7F5F"/>
    <w:rsid w:val="5C2D3BC9"/>
    <w:rsid w:val="5C34166A"/>
    <w:rsid w:val="5C4A36B7"/>
    <w:rsid w:val="5C4E44D4"/>
    <w:rsid w:val="5C5552A6"/>
    <w:rsid w:val="5C7F58F3"/>
    <w:rsid w:val="5C80234E"/>
    <w:rsid w:val="5CC83DC7"/>
    <w:rsid w:val="5CD7479C"/>
    <w:rsid w:val="5CE536CF"/>
    <w:rsid w:val="5CE568F8"/>
    <w:rsid w:val="5CF33064"/>
    <w:rsid w:val="5D013D09"/>
    <w:rsid w:val="5D0576C4"/>
    <w:rsid w:val="5D203E5D"/>
    <w:rsid w:val="5D230368"/>
    <w:rsid w:val="5D255730"/>
    <w:rsid w:val="5D424AC5"/>
    <w:rsid w:val="5D5667E0"/>
    <w:rsid w:val="5D580881"/>
    <w:rsid w:val="5D6261CB"/>
    <w:rsid w:val="5DA13534"/>
    <w:rsid w:val="5DC9382F"/>
    <w:rsid w:val="5DCB56EC"/>
    <w:rsid w:val="5DD14279"/>
    <w:rsid w:val="5DE448D2"/>
    <w:rsid w:val="5DF441FF"/>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71517"/>
    <w:rsid w:val="5F250070"/>
    <w:rsid w:val="5F5B6A83"/>
    <w:rsid w:val="5F62295E"/>
    <w:rsid w:val="5F7D16C2"/>
    <w:rsid w:val="5F892553"/>
    <w:rsid w:val="5FAB77AE"/>
    <w:rsid w:val="5FB301BB"/>
    <w:rsid w:val="5FD04B62"/>
    <w:rsid w:val="5FFA6139"/>
    <w:rsid w:val="5FFB5E88"/>
    <w:rsid w:val="600A6271"/>
    <w:rsid w:val="60357E4D"/>
    <w:rsid w:val="6046706E"/>
    <w:rsid w:val="60492B3E"/>
    <w:rsid w:val="60565E64"/>
    <w:rsid w:val="605E55CF"/>
    <w:rsid w:val="60747DCE"/>
    <w:rsid w:val="6089047C"/>
    <w:rsid w:val="608D4CE3"/>
    <w:rsid w:val="60A859A2"/>
    <w:rsid w:val="60AB29AA"/>
    <w:rsid w:val="60AC67BD"/>
    <w:rsid w:val="60AE372D"/>
    <w:rsid w:val="60C06489"/>
    <w:rsid w:val="60CE2A0E"/>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F7AFC"/>
    <w:rsid w:val="639215D8"/>
    <w:rsid w:val="63A36BE5"/>
    <w:rsid w:val="63C04B8A"/>
    <w:rsid w:val="63D42229"/>
    <w:rsid w:val="63D8474D"/>
    <w:rsid w:val="63DB746A"/>
    <w:rsid w:val="63E5033D"/>
    <w:rsid w:val="63EC46A4"/>
    <w:rsid w:val="63EE162B"/>
    <w:rsid w:val="63F75B8A"/>
    <w:rsid w:val="640310C7"/>
    <w:rsid w:val="64155C8D"/>
    <w:rsid w:val="641B0760"/>
    <w:rsid w:val="641E1DE4"/>
    <w:rsid w:val="64203CB4"/>
    <w:rsid w:val="64222857"/>
    <w:rsid w:val="642C6B67"/>
    <w:rsid w:val="64335EB1"/>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943E18"/>
    <w:rsid w:val="6699652A"/>
    <w:rsid w:val="66A562F6"/>
    <w:rsid w:val="66A93110"/>
    <w:rsid w:val="66AC664F"/>
    <w:rsid w:val="66AF2B2C"/>
    <w:rsid w:val="66C83F2C"/>
    <w:rsid w:val="66EB1F18"/>
    <w:rsid w:val="66F0190D"/>
    <w:rsid w:val="67064E16"/>
    <w:rsid w:val="672833FF"/>
    <w:rsid w:val="673832E7"/>
    <w:rsid w:val="67447CAA"/>
    <w:rsid w:val="67603184"/>
    <w:rsid w:val="676569B0"/>
    <w:rsid w:val="67662B31"/>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3B6DD7"/>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3816B9"/>
    <w:rsid w:val="6B457289"/>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3B602B"/>
    <w:rsid w:val="6C3E480C"/>
    <w:rsid w:val="6C4A348A"/>
    <w:rsid w:val="6C4A4478"/>
    <w:rsid w:val="6C5002D5"/>
    <w:rsid w:val="6C69343B"/>
    <w:rsid w:val="6C737CFB"/>
    <w:rsid w:val="6C777224"/>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A026C8"/>
    <w:rsid w:val="6DAC5479"/>
    <w:rsid w:val="6DB46943"/>
    <w:rsid w:val="6DC62455"/>
    <w:rsid w:val="6DE4394A"/>
    <w:rsid w:val="6DED7696"/>
    <w:rsid w:val="6E035FBA"/>
    <w:rsid w:val="6E123F60"/>
    <w:rsid w:val="6E2E7FD1"/>
    <w:rsid w:val="6E5231A4"/>
    <w:rsid w:val="6E5A40EE"/>
    <w:rsid w:val="6E5C19CE"/>
    <w:rsid w:val="6E671D27"/>
    <w:rsid w:val="6E78772A"/>
    <w:rsid w:val="6E7D48F4"/>
    <w:rsid w:val="6E842069"/>
    <w:rsid w:val="6E9C16AF"/>
    <w:rsid w:val="6E9D390D"/>
    <w:rsid w:val="6EAC20D1"/>
    <w:rsid w:val="6EE10B05"/>
    <w:rsid w:val="6F0472BB"/>
    <w:rsid w:val="6F1B6955"/>
    <w:rsid w:val="6F206808"/>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E54985"/>
    <w:rsid w:val="6FEC7554"/>
    <w:rsid w:val="6FF1283A"/>
    <w:rsid w:val="700D5DEC"/>
    <w:rsid w:val="70563262"/>
    <w:rsid w:val="705873A3"/>
    <w:rsid w:val="70726F06"/>
    <w:rsid w:val="709910D5"/>
    <w:rsid w:val="709C35CE"/>
    <w:rsid w:val="70B26D33"/>
    <w:rsid w:val="70B54946"/>
    <w:rsid w:val="70D216D3"/>
    <w:rsid w:val="70D9122B"/>
    <w:rsid w:val="71013AC4"/>
    <w:rsid w:val="71306040"/>
    <w:rsid w:val="71534AAE"/>
    <w:rsid w:val="7158431A"/>
    <w:rsid w:val="71613AEC"/>
    <w:rsid w:val="716C54B9"/>
    <w:rsid w:val="717C638C"/>
    <w:rsid w:val="71896C8F"/>
    <w:rsid w:val="719B216D"/>
    <w:rsid w:val="71B752EE"/>
    <w:rsid w:val="71C66F16"/>
    <w:rsid w:val="71DB12A7"/>
    <w:rsid w:val="71E40223"/>
    <w:rsid w:val="72106F1F"/>
    <w:rsid w:val="722D57C7"/>
    <w:rsid w:val="723423C2"/>
    <w:rsid w:val="724062B5"/>
    <w:rsid w:val="724A0704"/>
    <w:rsid w:val="724F46F0"/>
    <w:rsid w:val="7255143F"/>
    <w:rsid w:val="726436E6"/>
    <w:rsid w:val="72700C83"/>
    <w:rsid w:val="727E6483"/>
    <w:rsid w:val="72843406"/>
    <w:rsid w:val="728453D5"/>
    <w:rsid w:val="72935827"/>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CA3785"/>
    <w:rsid w:val="73CE0E30"/>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101C40"/>
    <w:rsid w:val="75225CBF"/>
    <w:rsid w:val="75350693"/>
    <w:rsid w:val="753B48E1"/>
    <w:rsid w:val="7546677D"/>
    <w:rsid w:val="754B2AC0"/>
    <w:rsid w:val="754D466C"/>
    <w:rsid w:val="754F4CC4"/>
    <w:rsid w:val="7554600D"/>
    <w:rsid w:val="756E0B0A"/>
    <w:rsid w:val="756F18B8"/>
    <w:rsid w:val="757031D9"/>
    <w:rsid w:val="75806983"/>
    <w:rsid w:val="75814167"/>
    <w:rsid w:val="75842DFC"/>
    <w:rsid w:val="758E0290"/>
    <w:rsid w:val="75A667A1"/>
    <w:rsid w:val="75B9416A"/>
    <w:rsid w:val="75BE0722"/>
    <w:rsid w:val="75C247F2"/>
    <w:rsid w:val="75CC7278"/>
    <w:rsid w:val="75CD7BB5"/>
    <w:rsid w:val="75D833A4"/>
    <w:rsid w:val="75F1698E"/>
    <w:rsid w:val="7616334A"/>
    <w:rsid w:val="762C54EE"/>
    <w:rsid w:val="76437D02"/>
    <w:rsid w:val="76442B95"/>
    <w:rsid w:val="765120A6"/>
    <w:rsid w:val="767F05D4"/>
    <w:rsid w:val="76A57736"/>
    <w:rsid w:val="76BF7D3D"/>
    <w:rsid w:val="76C52AEB"/>
    <w:rsid w:val="76D264D4"/>
    <w:rsid w:val="76D66A80"/>
    <w:rsid w:val="76E13C82"/>
    <w:rsid w:val="76E955C3"/>
    <w:rsid w:val="76FD43AC"/>
    <w:rsid w:val="77123ACC"/>
    <w:rsid w:val="77247924"/>
    <w:rsid w:val="772B1B20"/>
    <w:rsid w:val="77510935"/>
    <w:rsid w:val="77533C64"/>
    <w:rsid w:val="77634F3B"/>
    <w:rsid w:val="77691105"/>
    <w:rsid w:val="778A3EDB"/>
    <w:rsid w:val="778E76B4"/>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307089"/>
    <w:rsid w:val="79373219"/>
    <w:rsid w:val="794A4288"/>
    <w:rsid w:val="794C7980"/>
    <w:rsid w:val="7954036F"/>
    <w:rsid w:val="7963139E"/>
    <w:rsid w:val="796A36B4"/>
    <w:rsid w:val="796F2A8D"/>
    <w:rsid w:val="797A39DC"/>
    <w:rsid w:val="798B23A6"/>
    <w:rsid w:val="79A04DFD"/>
    <w:rsid w:val="79A86542"/>
    <w:rsid w:val="79BE5E62"/>
    <w:rsid w:val="79D00261"/>
    <w:rsid w:val="79D72059"/>
    <w:rsid w:val="79D917F7"/>
    <w:rsid w:val="79E34D47"/>
    <w:rsid w:val="79EC33C3"/>
    <w:rsid w:val="7A195421"/>
    <w:rsid w:val="7A1C1793"/>
    <w:rsid w:val="7A1C4DC7"/>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9373C"/>
    <w:rsid w:val="7B8B54F1"/>
    <w:rsid w:val="7BCD7043"/>
    <w:rsid w:val="7BDA2B39"/>
    <w:rsid w:val="7BE114B4"/>
    <w:rsid w:val="7C0A4F8F"/>
    <w:rsid w:val="7C274E7E"/>
    <w:rsid w:val="7C280E42"/>
    <w:rsid w:val="7C4A7F77"/>
    <w:rsid w:val="7C7F4F3C"/>
    <w:rsid w:val="7C9C55B4"/>
    <w:rsid w:val="7CA544A2"/>
    <w:rsid w:val="7CA91615"/>
    <w:rsid w:val="7CB347D7"/>
    <w:rsid w:val="7CCD67D7"/>
    <w:rsid w:val="7CDB518C"/>
    <w:rsid w:val="7CE21673"/>
    <w:rsid w:val="7CE2570E"/>
    <w:rsid w:val="7CF45745"/>
    <w:rsid w:val="7D0E3538"/>
    <w:rsid w:val="7D4033FD"/>
    <w:rsid w:val="7D4D5856"/>
    <w:rsid w:val="7D537A55"/>
    <w:rsid w:val="7D737A9C"/>
    <w:rsid w:val="7D8234F7"/>
    <w:rsid w:val="7DAA16F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D326C7"/>
    <w:rsid w:val="7F0A6F2E"/>
    <w:rsid w:val="7F1E459D"/>
    <w:rsid w:val="7F21551C"/>
    <w:rsid w:val="7F251450"/>
    <w:rsid w:val="7F381A47"/>
    <w:rsid w:val="7F3932D6"/>
    <w:rsid w:val="7F3B3199"/>
    <w:rsid w:val="7F3D07F6"/>
    <w:rsid w:val="7F4D23DA"/>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2024-11-08T09:05:55Z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